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eastAsia="zh-CN"/>
        </w:rPr>
        <w:t>二十八包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安徽彩琪医疗器械销售有限责任公司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86.77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国控创科医疗技术(安徽)有限公司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85.82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阜阳市中安医疗设备有限公司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85.79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安徽中悦医疗科技有限公司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81.72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安徽九州通医疗器械有限公司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80.96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28"/>
                <w:szCs w:val="22"/>
                <w:lang w:val="en-US" w:eastAsia="zh-CN" w:bidi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tabs>
                <w:tab w:val="left" w:pos="3416"/>
              </w:tabs>
              <w:bidi w:val="0"/>
              <w:jc w:val="center"/>
              <w:rPr>
                <w:rFonts w:hint="eastAsia" w:ascii="仿宋" w:hAnsi="仿宋" w:eastAsia="仿宋" w:cs="仿宋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zh-CN" w:eastAsia="zh-CN" w:bidi="zh-CN"/>
              </w:rPr>
              <w:t>合肥昊川信息科技有限公司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79.57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安徽医铸医疗器械有限公司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79.15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8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安徽儒诺医疗设备有限公司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77.85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9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76.58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10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安徽省认知民怡医药有限责任公司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75.68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南京晨新医疗科技有限公司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73.9</w:t>
            </w:r>
            <w:r>
              <w:rPr>
                <w:rFonts w:hint="eastAsia"/>
                <w:sz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安徽普道医疗科技有限公司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71.72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合肥华浦医药集团有限公司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69.19分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安徽九州通医药有限公司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54.89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安徽省安天医药有限公司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43.4</w:t>
            </w:r>
            <w:r>
              <w:rPr>
                <w:rFonts w:hint="eastAsia"/>
                <w:sz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</w:rPr>
              <w:t>阜阳皖宏医疗器械销售有限责任公司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安徽恒之星医疗器械有限公司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BF122F2"/>
    <w:rsid w:val="1D2F7EE5"/>
    <w:rsid w:val="22804AE0"/>
    <w:rsid w:val="25346CCA"/>
    <w:rsid w:val="26060EF2"/>
    <w:rsid w:val="28DD28A5"/>
    <w:rsid w:val="2FE43A64"/>
    <w:rsid w:val="336758D3"/>
    <w:rsid w:val="3B5A256D"/>
    <w:rsid w:val="3C4A32B4"/>
    <w:rsid w:val="40063D93"/>
    <w:rsid w:val="40713A43"/>
    <w:rsid w:val="40D2696D"/>
    <w:rsid w:val="40FF6677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AF97206"/>
    <w:rsid w:val="6B33736F"/>
    <w:rsid w:val="6D4F0589"/>
    <w:rsid w:val="6D692BFF"/>
    <w:rsid w:val="6E570C28"/>
    <w:rsid w:val="71B2580D"/>
    <w:rsid w:val="7B3933ED"/>
    <w:rsid w:val="7CAD6FE6"/>
    <w:rsid w:val="7E8D0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430</Characters>
  <TotalTime>2</TotalTime>
  <ScaleCrop>false</ScaleCrop>
  <LinksUpToDate>false</LinksUpToDate>
  <CharactersWithSpaces>430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2024-05-21T11:42:20Z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3BB737D5064A4CE6872FDFEF71A8ECAD_13</vt:lpwstr>
  </property>
</Properties>
</file>