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BE8EA">
      <w:pPr>
        <w:spacing w:line="560" w:lineRule="exact"/>
        <w:rPr>
          <w:rFonts w:ascii="仿宋_GB2312" w:hAnsi="仿宋_GB2312" w:eastAsia="仿宋_GB2312" w:cs="仿宋_GB2312"/>
          <w:sz w:val="32"/>
          <w:szCs w:val="32"/>
          <w:vertAlign w:val="subscript"/>
        </w:rPr>
      </w:pPr>
    </w:p>
    <w:p w14:paraId="4893D0A1">
      <w:pPr>
        <w:jc w:val="center"/>
        <w:rPr>
          <w:rFonts w:hint="eastAsia" w:ascii="楷体_GB2312" w:hAnsi="楷体_GB2312" w:eastAsia="楷体_GB2312" w:cs="楷体_GB2312"/>
          <w:b/>
          <w:bCs/>
          <w:sz w:val="56"/>
          <w:szCs w:val="56"/>
          <w:lang w:eastAsia="zh-CN"/>
        </w:rPr>
      </w:pPr>
      <w:r>
        <w:rPr>
          <w:rFonts w:hint="eastAsia" w:ascii="楷体_GB2312" w:hAnsi="楷体_GB2312" w:eastAsia="楷体_GB2312" w:cs="楷体_GB2312"/>
          <w:b/>
          <w:bCs/>
          <w:sz w:val="72"/>
          <w:szCs w:val="72"/>
          <w:lang w:val="en-US" w:eastAsia="zh-CN"/>
        </w:rPr>
        <w:t>阜阳市肿瘤医院药品追溯码全流程闭环系统采购项目</w:t>
      </w:r>
    </w:p>
    <w:p w14:paraId="77F09461">
      <w:pPr>
        <w:spacing w:line="560" w:lineRule="exact"/>
        <w:rPr>
          <w:rFonts w:ascii="仿宋_GB2312" w:hAnsi="仿宋_GB2312" w:eastAsia="仿宋_GB2312" w:cs="仿宋_GB2312"/>
          <w:sz w:val="32"/>
          <w:szCs w:val="32"/>
        </w:rPr>
      </w:pPr>
    </w:p>
    <w:p w14:paraId="1380E31D">
      <w:pPr>
        <w:spacing w:line="560" w:lineRule="exact"/>
        <w:rPr>
          <w:rFonts w:ascii="仿宋_GB2312" w:hAnsi="仿宋_GB2312" w:eastAsia="仿宋_GB2312" w:cs="仿宋_GB2312"/>
          <w:sz w:val="32"/>
          <w:szCs w:val="32"/>
        </w:rPr>
      </w:pPr>
    </w:p>
    <w:p w14:paraId="7AAE7794">
      <w:pPr>
        <w:spacing w:line="560" w:lineRule="exact"/>
        <w:rPr>
          <w:rFonts w:ascii="仿宋_GB2312" w:hAnsi="仿宋_GB2312" w:eastAsia="仿宋_GB2312" w:cs="仿宋_GB2312"/>
          <w:sz w:val="32"/>
          <w:szCs w:val="32"/>
        </w:rPr>
      </w:pPr>
    </w:p>
    <w:p w14:paraId="087163D7">
      <w:pPr>
        <w:jc w:val="center"/>
        <w:rPr>
          <w:rFonts w:ascii="楷体_GB2312" w:hAnsi="楷体_GB2312" w:eastAsia="楷体_GB2312" w:cs="楷体_GB2312"/>
          <w:b/>
          <w:bCs/>
          <w:sz w:val="72"/>
          <w:szCs w:val="72"/>
        </w:rPr>
      </w:pPr>
      <w:r>
        <w:rPr>
          <w:rFonts w:hint="eastAsia" w:ascii="楷体_GB2312" w:hAnsi="楷体_GB2312" w:eastAsia="楷体_GB2312" w:cs="楷体_GB2312"/>
          <w:b/>
          <w:bCs/>
          <w:sz w:val="72"/>
          <w:szCs w:val="72"/>
        </w:rPr>
        <w:t>询比文件</w:t>
      </w:r>
    </w:p>
    <w:p w14:paraId="77FB92E0">
      <w:pPr>
        <w:spacing w:line="560" w:lineRule="exact"/>
        <w:jc w:val="center"/>
        <w:rPr>
          <w:rFonts w:ascii="仿宋_GB2312" w:hAnsi="仿宋_GB2312" w:eastAsia="仿宋_GB2312" w:cs="仿宋_GB2312"/>
          <w:sz w:val="32"/>
          <w:szCs w:val="32"/>
        </w:rPr>
      </w:pPr>
    </w:p>
    <w:p w14:paraId="17DE822E">
      <w:pPr>
        <w:spacing w:line="560" w:lineRule="exact"/>
        <w:jc w:val="center"/>
        <w:rPr>
          <w:rFonts w:hint="default" w:ascii="仿宋_GB2312" w:hAnsi="仿宋_GB2312" w:eastAsia="仿宋_GB2312" w:cs="仿宋_GB2312"/>
          <w:sz w:val="32"/>
          <w:szCs w:val="32"/>
          <w:highlight w:val="red"/>
          <w:lang w:val="en-US"/>
        </w:rPr>
      </w:pPr>
      <w:r>
        <w:rPr>
          <w:rFonts w:hint="eastAsia" w:ascii="仿宋_GB2312" w:hAnsi="仿宋_GB2312" w:eastAsia="仿宋_GB2312" w:cs="仿宋_GB2312"/>
          <w:sz w:val="32"/>
          <w:szCs w:val="32"/>
        </w:rPr>
        <w:t>招标编号：</w:t>
      </w:r>
      <w:r>
        <w:rPr>
          <w:rFonts w:hint="eastAsia" w:ascii="仿宋" w:hAnsi="仿宋" w:eastAsia="仿宋" w:cs="仿宋"/>
          <w:color w:val="000000"/>
          <w:spacing w:val="15"/>
          <w:sz w:val="30"/>
          <w:szCs w:val="30"/>
          <w:lang w:val="en-US" w:eastAsia="zh-CN"/>
        </w:rPr>
        <w:t>ZLYYCG-2025010</w:t>
      </w:r>
    </w:p>
    <w:p w14:paraId="6DEAD0FC">
      <w:pPr>
        <w:spacing w:line="560" w:lineRule="exact"/>
        <w:jc w:val="left"/>
        <w:rPr>
          <w:rFonts w:ascii="仿宋_GB2312" w:hAnsi="仿宋_GB2312" w:eastAsia="仿宋_GB2312" w:cs="仿宋_GB2312"/>
          <w:sz w:val="32"/>
          <w:szCs w:val="32"/>
        </w:rPr>
      </w:pPr>
    </w:p>
    <w:p w14:paraId="7838811D">
      <w:pPr>
        <w:spacing w:line="560" w:lineRule="exact"/>
        <w:jc w:val="center"/>
        <w:rPr>
          <w:rFonts w:ascii="仿宋_GB2312" w:hAnsi="仿宋_GB2312" w:eastAsia="仿宋_GB2312" w:cs="仿宋_GB2312"/>
          <w:sz w:val="32"/>
          <w:szCs w:val="32"/>
        </w:rPr>
      </w:pPr>
    </w:p>
    <w:p w14:paraId="5E6B791F">
      <w:pPr>
        <w:spacing w:line="560" w:lineRule="exact"/>
        <w:jc w:val="center"/>
        <w:rPr>
          <w:rFonts w:ascii="仿宋_GB2312" w:hAnsi="仿宋_GB2312" w:eastAsia="仿宋_GB2312" w:cs="仿宋_GB2312"/>
          <w:sz w:val="32"/>
          <w:szCs w:val="32"/>
        </w:rPr>
      </w:pPr>
    </w:p>
    <w:p w14:paraId="62BABA89">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：阜阳市肿瘤医院</w:t>
      </w:r>
    </w:p>
    <w:p w14:paraId="0DD174E8">
      <w:pPr>
        <w:spacing w:line="560" w:lineRule="exact"/>
        <w:ind w:firstLine="2880" w:firstLineChars="900"/>
        <w:jc w:val="left"/>
        <w:rPr>
          <w:rFonts w:ascii="黑体" w:hAnsi="黑体" w:eastAsia="黑体" w:cs="黑体"/>
          <w:sz w:val="44"/>
          <w:szCs w:val="44"/>
        </w:rPr>
        <w:sectPr>
          <w:headerReference r:id="rId3" w:type="default"/>
          <w:pgSz w:w="11906" w:h="16838"/>
          <w:pgMar w:top="1440" w:right="964" w:bottom="850" w:left="1417" w:header="851" w:footer="992" w:gutter="0"/>
          <w:pgNumType w:fmt="decimal"/>
          <w:cols w:space="0" w:num="1"/>
          <w:docGrid w:type="lines" w:linePitch="312" w:charSpace="0"/>
        </w:sectPr>
      </w:pPr>
      <w:r>
        <w:rPr>
          <w:rFonts w:hint="eastAsia" w:ascii="仿宋_GB2312" w:hAnsi="仿宋_GB2312" w:eastAsia="仿宋_GB2312" w:cs="仿宋_GB2312"/>
          <w:sz w:val="32"/>
          <w:szCs w:val="32"/>
        </w:rPr>
        <w:t>编制时间：202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p>
    <w:p w14:paraId="348271F7">
      <w:pPr>
        <w:spacing w:line="560" w:lineRule="exact"/>
        <w:jc w:val="both"/>
        <w:rPr>
          <w:rFonts w:ascii="黑体" w:hAnsi="黑体" w:eastAsia="黑体" w:cs="黑体"/>
          <w:sz w:val="44"/>
          <w:szCs w:val="44"/>
        </w:rPr>
      </w:pPr>
    </w:p>
    <w:p w14:paraId="7AEFEF97">
      <w:pPr>
        <w:spacing w:line="560" w:lineRule="exact"/>
        <w:jc w:val="center"/>
        <w:rPr>
          <w:rFonts w:ascii="黑体" w:hAnsi="黑体" w:eastAsia="黑体" w:cs="黑体"/>
          <w:sz w:val="44"/>
          <w:szCs w:val="44"/>
        </w:rPr>
      </w:pPr>
      <w:r>
        <w:rPr>
          <w:rFonts w:hint="eastAsia" w:ascii="黑体" w:hAnsi="黑体" w:eastAsia="黑体" w:cs="黑体"/>
          <w:sz w:val="44"/>
          <w:szCs w:val="44"/>
        </w:rPr>
        <w:t>目录</w:t>
      </w:r>
    </w:p>
    <w:sdt>
      <w:sdtPr>
        <w:rPr>
          <w:rFonts w:ascii="Calibri" w:hAnsi="Calibri" w:eastAsia="宋体" w:cs="Times New Roman"/>
          <w:color w:val="auto"/>
          <w:kern w:val="2"/>
          <w:sz w:val="21"/>
          <w:szCs w:val="22"/>
          <w:lang w:val="zh-CN"/>
        </w:rPr>
        <w:id w:val="-619373010"/>
        <w:docPartObj>
          <w:docPartGallery w:val="Table of Contents"/>
          <w:docPartUnique/>
        </w:docPartObj>
      </w:sdtPr>
      <w:sdtEndPr>
        <w:rPr>
          <w:rFonts w:ascii="Calibri" w:hAnsi="Calibri" w:eastAsia="宋体" w:cs="Times New Roman"/>
          <w:b/>
          <w:bCs/>
          <w:color w:val="auto"/>
          <w:kern w:val="2"/>
          <w:sz w:val="21"/>
          <w:szCs w:val="22"/>
          <w:lang w:val="zh-CN"/>
        </w:rPr>
      </w:sdtEndPr>
      <w:sdtContent>
        <w:p w14:paraId="0035DE74">
          <w:pPr>
            <w:pStyle w:val="47"/>
          </w:pPr>
        </w:p>
        <w:p w14:paraId="2048F6CF">
          <w:pPr>
            <w:pStyle w:val="18"/>
            <w:tabs>
              <w:tab w:val="right" w:leader="dot" w:pos="9525"/>
            </w:tabs>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TOC \o "1-3" \h \z \u </w:instrText>
          </w:r>
          <w:r>
            <w:rPr>
              <w:rFonts w:hint="eastAsia" w:ascii="黑体" w:hAnsi="黑体" w:eastAsia="黑体" w:cs="黑体"/>
              <w:sz w:val="30"/>
              <w:szCs w:val="30"/>
            </w:rPr>
            <w:fldChar w:fldCharType="separate"/>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_Toc1216 </w:instrText>
          </w:r>
          <w:r>
            <w:rPr>
              <w:rFonts w:hint="eastAsia" w:ascii="黑体" w:hAnsi="黑体" w:eastAsia="黑体" w:cs="黑体"/>
              <w:sz w:val="30"/>
              <w:szCs w:val="30"/>
            </w:rPr>
            <w:fldChar w:fldCharType="separate"/>
          </w:r>
          <w:r>
            <w:rPr>
              <w:rFonts w:hint="eastAsia" w:ascii="黑体" w:hAnsi="黑体" w:eastAsia="黑体" w:cs="黑体"/>
              <w:bCs/>
              <w:sz w:val="30"/>
              <w:szCs w:val="30"/>
            </w:rPr>
            <w:t>第一章 询比公告</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_Toc1216 \h </w:instrText>
          </w:r>
          <w:r>
            <w:rPr>
              <w:rFonts w:hint="eastAsia" w:ascii="黑体" w:hAnsi="黑体" w:eastAsia="黑体" w:cs="黑体"/>
              <w:sz w:val="30"/>
              <w:szCs w:val="30"/>
            </w:rPr>
            <w:fldChar w:fldCharType="separate"/>
          </w:r>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354CD3A0">
          <w:pPr>
            <w:pStyle w:val="18"/>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_Toc7777 </w:instrText>
          </w:r>
          <w:r>
            <w:rPr>
              <w:rFonts w:hint="eastAsia" w:ascii="黑体" w:hAnsi="黑体" w:eastAsia="黑体" w:cs="黑体"/>
              <w:bCs/>
              <w:sz w:val="30"/>
              <w:szCs w:val="30"/>
              <w:lang w:val="zh-CN"/>
            </w:rPr>
            <w:fldChar w:fldCharType="separate"/>
          </w:r>
          <w:r>
            <w:rPr>
              <w:rFonts w:hint="eastAsia" w:ascii="黑体" w:hAnsi="黑体" w:eastAsia="黑体" w:cs="黑体"/>
              <w:bCs/>
              <w:sz w:val="30"/>
              <w:szCs w:val="30"/>
            </w:rPr>
            <w:t>第二章  </w:t>
          </w:r>
          <w:r>
            <w:rPr>
              <w:rFonts w:hint="eastAsia" w:ascii="黑体" w:hAnsi="黑体" w:eastAsia="黑体" w:cs="黑体"/>
              <w:bCs/>
              <w:sz w:val="30"/>
              <w:szCs w:val="30"/>
              <w:lang w:eastAsia="zh-CN"/>
            </w:rPr>
            <w:t>供应商</w:t>
          </w:r>
          <w:r>
            <w:rPr>
              <w:rFonts w:hint="eastAsia" w:ascii="黑体" w:hAnsi="黑体" w:eastAsia="黑体" w:cs="黑体"/>
              <w:bCs/>
              <w:sz w:val="30"/>
              <w:szCs w:val="30"/>
            </w:rPr>
            <w:t>须知</w:t>
          </w:r>
          <w:r>
            <w:rPr>
              <w:rFonts w:hint="eastAsia" w:ascii="黑体" w:hAnsi="黑体" w:eastAsia="黑体" w:cs="黑体"/>
              <w:sz w:val="30"/>
              <w:szCs w:val="30"/>
            </w:rPr>
            <w:tab/>
          </w:r>
          <w:r>
            <w:rPr>
              <w:rFonts w:hint="eastAsia" w:ascii="黑体" w:hAnsi="黑体" w:eastAsia="黑体" w:cs="黑体"/>
              <w:sz w:val="30"/>
              <w:szCs w:val="30"/>
              <w:lang w:val="en-US" w:eastAsia="zh-CN"/>
            </w:rPr>
            <w:t>3</w:t>
          </w:r>
          <w:r>
            <w:rPr>
              <w:rFonts w:hint="eastAsia" w:ascii="黑体" w:hAnsi="黑体" w:eastAsia="黑体" w:cs="黑体"/>
              <w:bCs/>
              <w:sz w:val="30"/>
              <w:szCs w:val="30"/>
              <w:lang w:val="zh-CN"/>
            </w:rPr>
            <w:fldChar w:fldCharType="end"/>
          </w:r>
        </w:p>
        <w:p w14:paraId="611181FE">
          <w:pPr>
            <w:pStyle w:val="18"/>
            <w:tabs>
              <w:tab w:val="right" w:leader="dot" w:pos="9525"/>
            </w:tabs>
            <w:rPr>
              <w:rFonts w:hint="eastAsia" w:ascii="黑体" w:hAnsi="黑体" w:eastAsia="黑体" w:cs="黑体"/>
              <w:sz w:val="30"/>
              <w:szCs w:val="30"/>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_Toc27855 </w:instrText>
          </w:r>
          <w:r>
            <w:rPr>
              <w:rFonts w:hint="eastAsia" w:ascii="黑体" w:hAnsi="黑体" w:eastAsia="黑体" w:cs="黑体"/>
              <w:bCs/>
              <w:sz w:val="30"/>
              <w:szCs w:val="30"/>
              <w:lang w:val="zh-CN"/>
            </w:rPr>
            <w:fldChar w:fldCharType="separate"/>
          </w:r>
          <w:r>
            <w:rPr>
              <w:rFonts w:hint="eastAsia" w:ascii="黑体" w:hAnsi="黑体" w:eastAsia="黑体" w:cs="黑体"/>
              <w:bCs/>
              <w:sz w:val="30"/>
              <w:szCs w:val="30"/>
            </w:rPr>
            <w:t xml:space="preserve">第三章 </w:t>
          </w:r>
          <w:r>
            <w:rPr>
              <w:rFonts w:hint="eastAsia" w:ascii="黑体" w:hAnsi="黑体" w:eastAsia="黑体" w:cs="黑体"/>
              <w:bCs/>
              <w:sz w:val="30"/>
              <w:szCs w:val="30"/>
              <w:lang w:val="en-US" w:eastAsia="zh-CN"/>
            </w:rPr>
            <w:t>采购</w:t>
          </w:r>
          <w:r>
            <w:rPr>
              <w:rFonts w:hint="eastAsia" w:ascii="黑体" w:hAnsi="黑体" w:eastAsia="黑体" w:cs="黑体"/>
              <w:bCs/>
              <w:sz w:val="30"/>
              <w:szCs w:val="30"/>
            </w:rPr>
            <w:t>需求</w:t>
          </w:r>
          <w:r>
            <w:rPr>
              <w:rFonts w:hint="eastAsia" w:ascii="黑体" w:hAnsi="黑体" w:eastAsia="黑体" w:cs="黑体"/>
              <w:sz w:val="30"/>
              <w:szCs w:val="30"/>
            </w:rPr>
            <w:tab/>
          </w:r>
          <w:r>
            <w:rPr>
              <w:rFonts w:hint="eastAsia" w:ascii="黑体" w:hAnsi="黑体" w:eastAsia="黑体" w:cs="黑体"/>
              <w:sz w:val="30"/>
              <w:szCs w:val="30"/>
              <w:lang w:val="en-US" w:eastAsia="zh-CN"/>
            </w:rPr>
            <w:t>9</w:t>
          </w:r>
          <w:r>
            <w:rPr>
              <w:rFonts w:hint="eastAsia" w:ascii="黑体" w:hAnsi="黑体" w:eastAsia="黑体" w:cs="黑体"/>
              <w:bCs/>
              <w:sz w:val="30"/>
              <w:szCs w:val="30"/>
              <w:lang w:val="zh-CN"/>
            </w:rPr>
            <w:fldChar w:fldCharType="end"/>
          </w:r>
        </w:p>
        <w:p w14:paraId="1C1D15B6">
          <w:pPr>
            <w:pStyle w:val="18"/>
            <w:tabs>
              <w:tab w:val="right" w:leader="dot" w:pos="9525"/>
            </w:tabs>
            <w:rPr>
              <w:rFonts w:hint="eastAsia" w:ascii="黑体" w:hAnsi="黑体" w:eastAsia="黑体" w:cs="黑体"/>
              <w:sz w:val="30"/>
              <w:szCs w:val="30"/>
              <w:lang w:val="en-US" w:eastAsia="zh-CN"/>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_Toc7815 </w:instrText>
          </w:r>
          <w:r>
            <w:rPr>
              <w:rFonts w:hint="eastAsia" w:ascii="黑体" w:hAnsi="黑体" w:eastAsia="黑体" w:cs="黑体"/>
              <w:bCs/>
              <w:sz w:val="30"/>
              <w:szCs w:val="30"/>
              <w:lang w:val="zh-CN"/>
            </w:rPr>
            <w:fldChar w:fldCharType="separate"/>
          </w:r>
          <w:r>
            <w:rPr>
              <w:rFonts w:hint="eastAsia" w:ascii="黑体" w:hAnsi="黑体" w:eastAsia="黑体" w:cs="黑体"/>
              <w:bCs/>
              <w:sz w:val="30"/>
              <w:szCs w:val="30"/>
            </w:rPr>
            <w:t>第</w:t>
          </w:r>
          <w:r>
            <w:rPr>
              <w:rFonts w:hint="eastAsia" w:ascii="黑体" w:hAnsi="黑体" w:eastAsia="黑体" w:cs="黑体"/>
              <w:bCs/>
              <w:sz w:val="30"/>
              <w:szCs w:val="30"/>
              <w:lang w:val="en-US" w:eastAsia="zh-CN"/>
            </w:rPr>
            <w:t>四</w:t>
          </w:r>
          <w:r>
            <w:rPr>
              <w:rFonts w:hint="eastAsia" w:ascii="黑体" w:hAnsi="黑体" w:eastAsia="黑体" w:cs="黑体"/>
              <w:bCs/>
              <w:sz w:val="30"/>
              <w:szCs w:val="30"/>
            </w:rPr>
            <w:t>章 评审办法</w:t>
          </w:r>
          <w:r>
            <w:rPr>
              <w:rFonts w:hint="eastAsia" w:ascii="黑体" w:hAnsi="黑体" w:eastAsia="黑体" w:cs="黑体"/>
              <w:sz w:val="30"/>
              <w:szCs w:val="30"/>
            </w:rPr>
            <w:tab/>
          </w:r>
          <w:r>
            <w:rPr>
              <w:rFonts w:hint="eastAsia" w:ascii="黑体" w:hAnsi="黑体" w:eastAsia="黑体" w:cs="黑体"/>
              <w:sz w:val="30"/>
              <w:szCs w:val="30"/>
              <w:lang w:val="en-US" w:eastAsia="zh-CN"/>
            </w:rPr>
            <w:t>1</w:t>
          </w:r>
          <w:r>
            <w:rPr>
              <w:rFonts w:hint="eastAsia" w:ascii="黑体" w:hAnsi="黑体" w:eastAsia="黑体" w:cs="黑体"/>
              <w:bCs/>
              <w:sz w:val="30"/>
              <w:szCs w:val="30"/>
              <w:lang w:val="zh-CN"/>
            </w:rPr>
            <w:fldChar w:fldCharType="end"/>
          </w:r>
          <w:r>
            <w:rPr>
              <w:rFonts w:hint="eastAsia" w:ascii="黑体" w:hAnsi="黑体" w:eastAsia="黑体" w:cs="黑体"/>
              <w:bCs/>
              <w:sz w:val="30"/>
              <w:szCs w:val="30"/>
              <w:lang w:val="en-US" w:eastAsia="zh-CN"/>
            </w:rPr>
            <w:t>4</w:t>
          </w:r>
        </w:p>
        <w:p w14:paraId="3595B950">
          <w:pPr>
            <w:pStyle w:val="18"/>
            <w:tabs>
              <w:tab w:val="right" w:leader="dot" w:pos="9525"/>
            </w:tabs>
            <w:rPr>
              <w:rFonts w:hint="eastAsia" w:ascii="黑体" w:hAnsi="黑体" w:eastAsia="黑体" w:cs="黑体"/>
              <w:sz w:val="30"/>
              <w:szCs w:val="30"/>
              <w:lang w:val="en-US" w:eastAsia="zh-CN"/>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_Toc9606 </w:instrText>
          </w:r>
          <w:r>
            <w:rPr>
              <w:rFonts w:hint="eastAsia" w:ascii="黑体" w:hAnsi="黑体" w:eastAsia="黑体" w:cs="黑体"/>
              <w:bCs/>
              <w:sz w:val="30"/>
              <w:szCs w:val="30"/>
              <w:lang w:val="zh-CN"/>
            </w:rPr>
            <w:fldChar w:fldCharType="separate"/>
          </w:r>
          <w:r>
            <w:rPr>
              <w:rFonts w:hint="eastAsia" w:ascii="黑体" w:hAnsi="黑体" w:eastAsia="黑体" w:cs="黑体"/>
              <w:bCs/>
              <w:sz w:val="30"/>
              <w:szCs w:val="30"/>
            </w:rPr>
            <w:t>第五章 询比响应文件格式</w:t>
          </w:r>
          <w:r>
            <w:rPr>
              <w:rFonts w:hint="eastAsia" w:ascii="黑体" w:hAnsi="黑体" w:eastAsia="黑体" w:cs="黑体"/>
              <w:sz w:val="30"/>
              <w:szCs w:val="30"/>
            </w:rPr>
            <w:tab/>
          </w:r>
          <w:r>
            <w:rPr>
              <w:rFonts w:hint="eastAsia" w:ascii="黑体" w:hAnsi="黑体" w:eastAsia="黑体" w:cs="黑体"/>
              <w:sz w:val="30"/>
              <w:szCs w:val="30"/>
              <w:lang w:val="en-US" w:eastAsia="zh-CN"/>
            </w:rPr>
            <w:t>1</w:t>
          </w:r>
          <w:r>
            <w:rPr>
              <w:rFonts w:hint="eastAsia" w:ascii="黑体" w:hAnsi="黑体" w:eastAsia="黑体" w:cs="黑体"/>
              <w:bCs/>
              <w:sz w:val="30"/>
              <w:szCs w:val="30"/>
              <w:lang w:val="zh-CN"/>
            </w:rPr>
            <w:fldChar w:fldCharType="end"/>
          </w:r>
          <w:r>
            <w:rPr>
              <w:rFonts w:hint="eastAsia" w:ascii="黑体" w:hAnsi="黑体" w:eastAsia="黑体" w:cs="黑体"/>
              <w:bCs/>
              <w:sz w:val="30"/>
              <w:szCs w:val="30"/>
              <w:lang w:val="en-US" w:eastAsia="zh-CN"/>
            </w:rPr>
            <w:t>9</w:t>
          </w:r>
        </w:p>
        <w:p w14:paraId="2D1DF09C">
          <w:pPr>
            <w:pStyle w:val="13"/>
            <w:tabs>
              <w:tab w:val="right" w:leader="dot" w:pos="9525"/>
            </w:tabs>
            <w:rPr>
              <w:rFonts w:hint="eastAsia" w:ascii="黑体" w:hAnsi="黑体" w:eastAsia="黑体" w:cs="黑体"/>
              <w:sz w:val="30"/>
              <w:szCs w:val="30"/>
              <w:lang w:val="en-US" w:eastAsia="zh-CN"/>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_Toc8835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一、开标一览表</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bCs/>
              <w:sz w:val="30"/>
              <w:szCs w:val="30"/>
              <w:lang w:val="zh-CN"/>
            </w:rPr>
            <w:fldChar w:fldCharType="end"/>
          </w:r>
          <w:r>
            <w:rPr>
              <w:rFonts w:hint="eastAsia" w:ascii="黑体" w:hAnsi="黑体" w:eastAsia="黑体" w:cs="黑体"/>
              <w:bCs/>
              <w:sz w:val="30"/>
              <w:szCs w:val="30"/>
              <w:lang w:val="en-US" w:eastAsia="zh-CN"/>
            </w:rPr>
            <w:t>1</w:t>
          </w:r>
        </w:p>
        <w:p w14:paraId="1AD9EEF6">
          <w:pPr>
            <w:pStyle w:val="13"/>
            <w:tabs>
              <w:tab w:val="right" w:leader="dot" w:pos="9525"/>
            </w:tabs>
            <w:rPr>
              <w:rFonts w:hint="eastAsia" w:ascii="黑体" w:hAnsi="黑体" w:eastAsia="黑体" w:cs="黑体"/>
              <w:sz w:val="30"/>
              <w:szCs w:val="30"/>
              <w:lang w:val="en-US" w:eastAsia="zh-CN"/>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_Toc587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二、</w:t>
          </w:r>
          <w:r>
            <w:rPr>
              <w:rFonts w:hint="eastAsia" w:ascii="黑体" w:hAnsi="黑体" w:eastAsia="黑体" w:cs="黑体"/>
              <w:kern w:val="0"/>
              <w:sz w:val="30"/>
              <w:szCs w:val="30"/>
              <w:lang w:val="en-US" w:eastAsia="zh-CN"/>
            </w:rPr>
            <w:t>响应</w:t>
          </w:r>
          <w:r>
            <w:rPr>
              <w:rFonts w:hint="eastAsia" w:ascii="黑体" w:hAnsi="黑体" w:eastAsia="黑体" w:cs="黑体"/>
              <w:kern w:val="0"/>
              <w:sz w:val="30"/>
              <w:szCs w:val="30"/>
            </w:rPr>
            <w:t>函</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bCs/>
              <w:sz w:val="30"/>
              <w:szCs w:val="30"/>
              <w:lang w:val="zh-CN"/>
            </w:rPr>
            <w:fldChar w:fldCharType="end"/>
          </w:r>
          <w:r>
            <w:rPr>
              <w:rFonts w:hint="eastAsia" w:ascii="黑体" w:hAnsi="黑体" w:eastAsia="黑体" w:cs="黑体"/>
              <w:bCs/>
              <w:sz w:val="30"/>
              <w:szCs w:val="30"/>
              <w:lang w:val="en-US" w:eastAsia="zh-CN"/>
            </w:rPr>
            <w:t>2</w:t>
          </w:r>
        </w:p>
        <w:p w14:paraId="25232873">
          <w:pPr>
            <w:pStyle w:val="13"/>
            <w:tabs>
              <w:tab w:val="right" w:leader="dot" w:pos="9525"/>
            </w:tabs>
            <w:rPr>
              <w:rFonts w:hint="eastAsia" w:ascii="黑体" w:hAnsi="黑体" w:eastAsia="黑体" w:cs="黑体"/>
              <w:sz w:val="30"/>
              <w:szCs w:val="30"/>
              <w:lang w:val="en-US" w:eastAsia="zh-CN"/>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_Toc30891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三、承诺书</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bCs/>
              <w:sz w:val="30"/>
              <w:szCs w:val="30"/>
              <w:lang w:val="zh-CN"/>
            </w:rPr>
            <w:fldChar w:fldCharType="end"/>
          </w:r>
          <w:r>
            <w:rPr>
              <w:rFonts w:hint="eastAsia" w:ascii="黑体" w:hAnsi="黑体" w:eastAsia="黑体" w:cs="黑体"/>
              <w:bCs/>
              <w:sz w:val="30"/>
              <w:szCs w:val="30"/>
              <w:lang w:val="en-US" w:eastAsia="zh-CN"/>
            </w:rPr>
            <w:t>4</w:t>
          </w:r>
        </w:p>
        <w:p w14:paraId="5C3DA3D8">
          <w:pPr>
            <w:pStyle w:val="13"/>
            <w:tabs>
              <w:tab w:val="right" w:leader="dot" w:pos="9525"/>
            </w:tabs>
            <w:rPr>
              <w:rFonts w:hint="eastAsia" w:ascii="黑体" w:hAnsi="黑体" w:eastAsia="黑体" w:cs="黑体"/>
              <w:sz w:val="30"/>
              <w:szCs w:val="30"/>
              <w:lang w:val="en-US" w:eastAsia="zh-CN"/>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_Toc18070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四、法人身份证明和授权委托书</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bCs/>
              <w:sz w:val="30"/>
              <w:szCs w:val="30"/>
              <w:lang w:val="zh-CN"/>
            </w:rPr>
            <w:fldChar w:fldCharType="end"/>
          </w:r>
          <w:r>
            <w:rPr>
              <w:rFonts w:hint="eastAsia" w:ascii="黑体" w:hAnsi="黑体" w:eastAsia="黑体" w:cs="黑体"/>
              <w:bCs/>
              <w:sz w:val="30"/>
              <w:szCs w:val="30"/>
              <w:lang w:val="en-US" w:eastAsia="zh-CN"/>
            </w:rPr>
            <w:t>5</w:t>
          </w:r>
        </w:p>
        <w:p w14:paraId="4B36A20F">
          <w:pPr>
            <w:pStyle w:val="13"/>
            <w:tabs>
              <w:tab w:val="right" w:leader="dot" w:pos="9525"/>
            </w:tabs>
            <w:rPr>
              <w:rFonts w:hint="eastAsia" w:ascii="黑体" w:hAnsi="黑体" w:eastAsia="黑体" w:cs="黑体"/>
              <w:sz w:val="30"/>
              <w:szCs w:val="30"/>
              <w:lang w:val="en-US" w:eastAsia="zh-CN"/>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_Toc13090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五、服务内容要求响应表</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bCs/>
              <w:sz w:val="30"/>
              <w:szCs w:val="30"/>
              <w:lang w:val="zh-CN"/>
            </w:rPr>
            <w:fldChar w:fldCharType="end"/>
          </w:r>
          <w:r>
            <w:rPr>
              <w:rFonts w:hint="eastAsia" w:ascii="黑体" w:hAnsi="黑体" w:eastAsia="黑体" w:cs="黑体"/>
              <w:bCs/>
              <w:sz w:val="30"/>
              <w:szCs w:val="30"/>
              <w:lang w:val="en-US" w:eastAsia="zh-CN"/>
            </w:rPr>
            <w:t>7</w:t>
          </w:r>
        </w:p>
        <w:p w14:paraId="3FC6EA93">
          <w:pPr>
            <w:pStyle w:val="13"/>
            <w:tabs>
              <w:tab w:val="right" w:leader="dot" w:pos="9525"/>
            </w:tabs>
            <w:rPr>
              <w:rFonts w:hint="eastAsia" w:ascii="黑体" w:hAnsi="黑体" w:eastAsia="黑体" w:cs="黑体"/>
              <w:sz w:val="30"/>
              <w:szCs w:val="30"/>
              <w:lang w:val="en-US" w:eastAsia="zh-CN"/>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_Toc28230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六、</w:t>
          </w:r>
          <w:r>
            <w:rPr>
              <w:rFonts w:hint="eastAsia" w:ascii="黑体" w:hAnsi="黑体" w:eastAsia="黑体" w:cs="黑体"/>
              <w:kern w:val="0"/>
              <w:sz w:val="30"/>
              <w:szCs w:val="30"/>
              <w:lang w:val="en-US" w:eastAsia="zh-CN"/>
            </w:rPr>
            <w:t>服务</w:t>
          </w:r>
          <w:r>
            <w:rPr>
              <w:rFonts w:hint="eastAsia" w:ascii="黑体" w:hAnsi="黑体" w:eastAsia="黑体" w:cs="黑体"/>
              <w:kern w:val="0"/>
              <w:sz w:val="30"/>
              <w:szCs w:val="30"/>
            </w:rPr>
            <w:t>分项报价表</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bCs/>
              <w:sz w:val="30"/>
              <w:szCs w:val="30"/>
              <w:lang w:val="zh-CN"/>
            </w:rPr>
            <w:fldChar w:fldCharType="end"/>
          </w:r>
          <w:r>
            <w:rPr>
              <w:rFonts w:hint="eastAsia" w:ascii="黑体" w:hAnsi="黑体" w:eastAsia="黑体" w:cs="黑体"/>
              <w:bCs/>
              <w:sz w:val="30"/>
              <w:szCs w:val="30"/>
              <w:lang w:val="en-US" w:eastAsia="zh-CN"/>
            </w:rPr>
            <w:t>8</w:t>
          </w:r>
        </w:p>
        <w:p w14:paraId="6375FE8A">
          <w:pPr>
            <w:pStyle w:val="13"/>
            <w:tabs>
              <w:tab w:val="right" w:leader="dot" w:pos="9525"/>
            </w:tabs>
            <w:rPr>
              <w:rFonts w:hint="eastAsia" w:ascii="黑体" w:hAnsi="黑体" w:eastAsia="黑体" w:cs="黑体"/>
              <w:sz w:val="30"/>
              <w:szCs w:val="30"/>
              <w:lang w:val="en-US" w:eastAsia="zh-CN"/>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_Toc28529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七、资格审查证明文件</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bCs/>
              <w:sz w:val="30"/>
              <w:szCs w:val="30"/>
              <w:lang w:val="zh-CN"/>
            </w:rPr>
            <w:fldChar w:fldCharType="end"/>
          </w:r>
          <w:r>
            <w:rPr>
              <w:rFonts w:hint="eastAsia" w:ascii="黑体" w:hAnsi="黑体" w:eastAsia="黑体" w:cs="黑体"/>
              <w:bCs/>
              <w:sz w:val="30"/>
              <w:szCs w:val="30"/>
              <w:lang w:val="en-US" w:eastAsia="zh-CN"/>
            </w:rPr>
            <w:t>9</w:t>
          </w:r>
        </w:p>
        <w:p w14:paraId="1003EBC0">
          <w:pPr>
            <w:pStyle w:val="13"/>
            <w:tabs>
              <w:tab w:val="right" w:leader="dot" w:pos="9525"/>
            </w:tabs>
            <w:rPr>
              <w:rFonts w:hint="eastAsia" w:ascii="黑体" w:hAnsi="黑体" w:eastAsia="黑体" w:cs="黑体"/>
              <w:sz w:val="30"/>
              <w:szCs w:val="30"/>
              <w:lang w:val="en-US" w:eastAsia="zh-CN"/>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_Toc30044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八、所</w:t>
          </w:r>
          <w:r>
            <w:rPr>
              <w:rFonts w:hint="eastAsia" w:ascii="黑体" w:hAnsi="黑体" w:eastAsia="黑体" w:cs="黑体"/>
              <w:kern w:val="0"/>
              <w:sz w:val="30"/>
              <w:szCs w:val="30"/>
              <w:lang w:val="en-US" w:eastAsia="zh-CN"/>
            </w:rPr>
            <w:t>响应服务</w:t>
          </w:r>
          <w:r>
            <w:rPr>
              <w:rFonts w:hint="eastAsia" w:ascii="黑体" w:hAnsi="黑体" w:eastAsia="黑体" w:cs="黑体"/>
              <w:kern w:val="0"/>
              <w:sz w:val="30"/>
              <w:szCs w:val="30"/>
            </w:rPr>
            <w:t>的相关资料</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bCs/>
              <w:sz w:val="30"/>
              <w:szCs w:val="30"/>
              <w:lang w:val="zh-CN"/>
            </w:rPr>
            <w:fldChar w:fldCharType="end"/>
          </w:r>
          <w:r>
            <w:rPr>
              <w:rFonts w:hint="eastAsia" w:ascii="黑体" w:hAnsi="黑体" w:eastAsia="黑体" w:cs="黑体"/>
              <w:bCs/>
              <w:sz w:val="30"/>
              <w:szCs w:val="30"/>
              <w:lang w:val="en-US" w:eastAsia="zh-CN"/>
            </w:rPr>
            <w:t>9</w:t>
          </w:r>
        </w:p>
        <w:p w14:paraId="52537A75">
          <w:pPr>
            <w:pStyle w:val="13"/>
            <w:tabs>
              <w:tab w:val="right" w:leader="dot" w:pos="9525"/>
            </w:tabs>
            <w:rPr>
              <w:rFonts w:hint="eastAsia" w:ascii="黑体" w:hAnsi="黑体" w:eastAsia="黑体" w:cs="黑体"/>
              <w:sz w:val="30"/>
              <w:szCs w:val="30"/>
              <w:lang w:val="en-US" w:eastAsia="zh-CN"/>
            </w:rPr>
          </w:pPr>
          <w:r>
            <w:rPr>
              <w:rFonts w:hint="eastAsia" w:ascii="黑体" w:hAnsi="黑体" w:eastAsia="黑体" w:cs="黑体"/>
              <w:bCs/>
              <w:sz w:val="30"/>
              <w:szCs w:val="30"/>
              <w:lang w:val="zh-CN"/>
            </w:rPr>
            <w:fldChar w:fldCharType="begin"/>
          </w:r>
          <w:r>
            <w:rPr>
              <w:rFonts w:hint="eastAsia" w:ascii="黑体" w:hAnsi="黑体" w:eastAsia="黑体" w:cs="黑体"/>
              <w:bCs/>
              <w:sz w:val="30"/>
              <w:szCs w:val="30"/>
              <w:lang w:val="zh-CN"/>
            </w:rPr>
            <w:instrText xml:space="preserve"> HYPERLINK \l _Toc9159 </w:instrText>
          </w:r>
          <w:r>
            <w:rPr>
              <w:rFonts w:hint="eastAsia" w:ascii="黑体" w:hAnsi="黑体" w:eastAsia="黑体" w:cs="黑体"/>
              <w:bCs/>
              <w:sz w:val="30"/>
              <w:szCs w:val="30"/>
              <w:lang w:val="zh-CN"/>
            </w:rPr>
            <w:fldChar w:fldCharType="separate"/>
          </w:r>
          <w:r>
            <w:rPr>
              <w:rFonts w:hint="eastAsia" w:ascii="黑体" w:hAnsi="黑体" w:eastAsia="黑体" w:cs="黑体"/>
              <w:kern w:val="0"/>
              <w:sz w:val="30"/>
              <w:szCs w:val="30"/>
            </w:rPr>
            <w:t>九、</w:t>
          </w:r>
          <w:r>
            <w:rPr>
              <w:rFonts w:hint="eastAsia" w:ascii="黑体" w:hAnsi="黑体" w:eastAsia="黑体" w:cs="黑体"/>
              <w:kern w:val="0"/>
              <w:sz w:val="30"/>
              <w:szCs w:val="30"/>
              <w:lang w:eastAsia="zh-CN"/>
            </w:rPr>
            <w:t>供应商</w:t>
          </w:r>
          <w:r>
            <w:rPr>
              <w:rFonts w:hint="eastAsia" w:ascii="黑体" w:hAnsi="黑体" w:eastAsia="黑体" w:cs="黑体"/>
              <w:kern w:val="0"/>
              <w:sz w:val="30"/>
              <w:szCs w:val="30"/>
            </w:rPr>
            <w:t>认为需要说明的其他内容</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bCs/>
              <w:sz w:val="30"/>
              <w:szCs w:val="30"/>
              <w:lang w:val="zh-CN"/>
            </w:rPr>
            <w:fldChar w:fldCharType="end"/>
          </w:r>
          <w:r>
            <w:rPr>
              <w:rFonts w:hint="eastAsia" w:ascii="黑体" w:hAnsi="黑体" w:eastAsia="黑体" w:cs="黑体"/>
              <w:bCs/>
              <w:sz w:val="30"/>
              <w:szCs w:val="30"/>
              <w:lang w:val="en-US" w:eastAsia="zh-CN"/>
            </w:rPr>
            <w:t>9</w:t>
          </w:r>
        </w:p>
        <w:p w14:paraId="185191C0">
          <w:pPr>
            <w:spacing w:line="480" w:lineRule="auto"/>
          </w:pPr>
          <w:r>
            <w:rPr>
              <w:rFonts w:hint="eastAsia" w:ascii="黑体" w:hAnsi="黑体" w:eastAsia="黑体" w:cs="黑体"/>
              <w:bCs/>
              <w:sz w:val="30"/>
              <w:szCs w:val="30"/>
              <w:lang w:val="zh-CN"/>
            </w:rPr>
            <w:fldChar w:fldCharType="end"/>
          </w:r>
        </w:p>
      </w:sdtContent>
    </w:sdt>
    <w:p w14:paraId="2A9DD962">
      <w:pPr>
        <w:pStyle w:val="47"/>
      </w:pPr>
    </w:p>
    <w:p w14:paraId="157E90AE">
      <w:pPr>
        <w:tabs>
          <w:tab w:val="left" w:pos="2509"/>
        </w:tabs>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p>
    <w:p w14:paraId="696A2916">
      <w:pPr>
        <w:spacing w:line="560" w:lineRule="exact"/>
        <w:jc w:val="center"/>
        <w:outlineLvl w:val="0"/>
        <w:rPr>
          <w:rFonts w:hint="eastAsia" w:ascii="黑体" w:hAnsi="黑体" w:eastAsia="黑体" w:cs="黑体"/>
          <w:bCs/>
          <w:sz w:val="44"/>
          <w:szCs w:val="44"/>
        </w:rPr>
        <w:sectPr>
          <w:headerReference r:id="rId4" w:type="default"/>
          <w:footerReference r:id="rId5" w:type="default"/>
          <w:pgSz w:w="11906" w:h="16838"/>
          <w:pgMar w:top="1440" w:right="964" w:bottom="850" w:left="1417" w:header="851" w:footer="992" w:gutter="0"/>
          <w:pgNumType w:fmt="decimal" w:start="1"/>
          <w:cols w:space="0" w:num="1"/>
          <w:docGrid w:type="lines" w:linePitch="312" w:charSpace="0"/>
        </w:sectPr>
      </w:pPr>
      <w:bookmarkStart w:id="0" w:name="_Toc1216"/>
    </w:p>
    <w:p w14:paraId="7A47E331">
      <w:pPr>
        <w:spacing w:line="560" w:lineRule="exact"/>
        <w:jc w:val="center"/>
        <w:outlineLvl w:val="0"/>
        <w:rPr>
          <w:rFonts w:ascii="黑体" w:hAnsi="黑体" w:eastAsia="黑体" w:cs="黑体"/>
          <w:bCs/>
          <w:sz w:val="44"/>
          <w:szCs w:val="44"/>
        </w:rPr>
      </w:pPr>
      <w:r>
        <w:rPr>
          <w:rFonts w:hint="eastAsia" w:ascii="黑体" w:hAnsi="黑体" w:eastAsia="黑体" w:cs="黑体"/>
          <w:bCs/>
          <w:sz w:val="44"/>
          <w:szCs w:val="44"/>
        </w:rPr>
        <w:t>第一章 询比公告</w:t>
      </w:r>
      <w:bookmarkEnd w:id="0"/>
    </w:p>
    <w:p w14:paraId="777965F9">
      <w:pPr>
        <w:spacing w:line="560" w:lineRule="exact"/>
        <w:jc w:val="left"/>
        <w:rPr>
          <w:rFonts w:ascii="仿宋_GB2312" w:hAnsi="仿宋_GB2312" w:eastAsia="仿宋_GB2312" w:cs="仿宋_GB2312"/>
          <w:b/>
          <w:sz w:val="28"/>
          <w:szCs w:val="28"/>
        </w:rPr>
      </w:pPr>
      <w:r>
        <w:rPr>
          <w:rFonts w:hint="eastAsia" w:ascii="仿宋_GB2312" w:hAnsi="宋体" w:eastAsia="仿宋_GB2312" w:cs="仿宋_GB2312"/>
          <w:b/>
          <w:sz w:val="28"/>
          <w:szCs w:val="28"/>
        </w:rPr>
        <w:t>一.</w:t>
      </w:r>
      <w:r>
        <w:rPr>
          <w:rFonts w:ascii="仿宋_GB2312" w:hAnsi="宋体" w:eastAsia="仿宋_GB2312" w:cs="仿宋_GB2312"/>
          <w:b/>
          <w:sz w:val="28"/>
          <w:szCs w:val="28"/>
        </w:rPr>
        <w:t xml:space="preserve"> </w:t>
      </w:r>
      <w:r>
        <w:rPr>
          <w:rFonts w:hint="eastAsia" w:ascii="仿宋_GB2312" w:hAnsi="仿宋_GB2312" w:eastAsia="仿宋_GB2312" w:cs="仿宋_GB2312"/>
          <w:b/>
          <w:sz w:val="28"/>
          <w:szCs w:val="28"/>
          <w:lang w:eastAsia="zh-CN"/>
        </w:rPr>
        <w:t>服务</w:t>
      </w:r>
      <w:r>
        <w:rPr>
          <w:rFonts w:hint="eastAsia" w:ascii="仿宋_GB2312" w:hAnsi="仿宋_GB2312" w:eastAsia="仿宋_GB2312" w:cs="仿宋_GB2312"/>
          <w:b/>
          <w:sz w:val="28"/>
          <w:szCs w:val="28"/>
        </w:rPr>
        <w:t>条件</w:t>
      </w:r>
    </w:p>
    <w:p w14:paraId="6CDF8C09">
      <w:pPr>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sz w:val="28"/>
          <w:szCs w:val="28"/>
          <w:u w:val="single"/>
          <w:lang w:val="en-US" w:eastAsia="zh-CN"/>
        </w:rPr>
        <w:t>阜阳市肿瘤医院药品追溯码全流程闭环系统采购项目</w:t>
      </w:r>
      <w:r>
        <w:rPr>
          <w:rFonts w:hint="eastAsia" w:ascii="仿宋_GB2312" w:hAnsi="仿宋_GB2312" w:eastAsia="仿宋_GB2312" w:cs="仿宋_GB2312"/>
          <w:sz w:val="28"/>
          <w:szCs w:val="28"/>
        </w:rPr>
        <w:t>已经批准</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，项目资金为</w:t>
      </w:r>
      <w:r>
        <w:rPr>
          <w:rFonts w:hint="eastAsia" w:ascii="仿宋_GB2312" w:hAnsi="仿宋_GB2312" w:eastAsia="仿宋_GB2312" w:cs="仿宋_GB2312"/>
          <w:b/>
          <w:sz w:val="28"/>
          <w:szCs w:val="28"/>
          <w:u w:val="single"/>
        </w:rPr>
        <w:t>自筹资金</w:t>
      </w:r>
      <w:r>
        <w:rPr>
          <w:rFonts w:hint="eastAsia" w:ascii="仿宋_GB2312" w:hAnsi="仿宋_GB2312" w:eastAsia="仿宋_GB2312" w:cs="仿宋_GB2312"/>
          <w:sz w:val="28"/>
          <w:szCs w:val="28"/>
        </w:rPr>
        <w:t>且已落实，现对本项目进行公开询比，诚邀国内符合条件的</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参加本次询比。</w:t>
      </w:r>
    </w:p>
    <w:p w14:paraId="4868EC5A">
      <w:pPr>
        <w:spacing w:line="56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二</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项目概况</w:t>
      </w:r>
    </w:p>
    <w:p w14:paraId="63DA07F7">
      <w:pPr>
        <w:spacing w:line="560" w:lineRule="exact"/>
        <w:ind w:firstLine="560"/>
        <w:jc w:val="left"/>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rPr>
        <w:t>2.1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lang w:val="en-US" w:eastAsia="zh-CN"/>
        </w:rPr>
        <w:t>ZLYYCG-2025010</w:t>
      </w:r>
    </w:p>
    <w:p w14:paraId="53065E92">
      <w:pPr>
        <w:spacing w:line="560" w:lineRule="exact"/>
        <w:ind w:firstLine="560"/>
        <w:jc w:val="left"/>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 xml:space="preserve">2 </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u w:val="none"/>
          <w:lang w:val="en-US" w:eastAsia="zh-CN"/>
        </w:rPr>
        <w:t>阜阳市肿瘤医院药品追溯码全流程闭环系统采购项目</w:t>
      </w:r>
    </w:p>
    <w:p w14:paraId="68E4336A">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2.3 </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方式：询比</w:t>
      </w:r>
      <w:r>
        <w:rPr>
          <w:rFonts w:ascii="仿宋_GB2312" w:hAnsi="仿宋_GB2312" w:eastAsia="仿宋_GB2312" w:cs="仿宋_GB2312"/>
          <w:sz w:val="28"/>
          <w:szCs w:val="28"/>
        </w:rPr>
        <w:t xml:space="preserve"> </w:t>
      </w:r>
    </w:p>
    <w:p w14:paraId="54516730">
      <w:pPr>
        <w:spacing w:line="56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2.4</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预算金额</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9.5万元</w:t>
      </w:r>
    </w:p>
    <w:p w14:paraId="1B6ECB66">
      <w:pPr>
        <w:spacing w:line="560" w:lineRule="exact"/>
        <w:ind w:firstLine="560" w:firstLineChars="200"/>
        <w:jc w:val="left"/>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highlight w:val="none"/>
          <w:lang w:val="en-US" w:eastAsia="zh-CN"/>
        </w:rPr>
        <w:t>2.5服务内容：</w:t>
      </w:r>
      <w:r>
        <w:rPr>
          <w:rFonts w:hint="eastAsia" w:ascii="仿宋_GB2312" w:hAnsi="仿宋_GB2312" w:eastAsia="仿宋_GB2312" w:cs="仿宋_GB2312"/>
          <w:sz w:val="28"/>
          <w:szCs w:val="28"/>
          <w:u w:val="none"/>
          <w:lang w:val="en-US" w:eastAsia="zh-CN"/>
        </w:rPr>
        <w:t>药品追溯码全流程闭环系统，具体详见服务需求</w:t>
      </w:r>
    </w:p>
    <w:p w14:paraId="3A060744">
      <w:pPr>
        <w:spacing w:line="560" w:lineRule="exact"/>
        <w:ind w:firstLine="560" w:firstLineChars="200"/>
        <w:jc w:val="left"/>
        <w:rPr>
          <w:rFonts w:hint="default" w:ascii="仿宋_GB2312" w:hAnsi="仿宋_GB2312" w:eastAsia="仿宋_GB2312" w:cs="仿宋_GB2312"/>
          <w:sz w:val="28"/>
          <w:szCs w:val="28"/>
          <w:highlight w:val="none"/>
          <w:lang w:val="en-US" w:eastAsia="zh-CN"/>
        </w:rPr>
      </w:pPr>
    </w:p>
    <w:p w14:paraId="1C9B6E0E">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三.</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供应商资格要求</w:t>
      </w:r>
    </w:p>
    <w:p w14:paraId="4BC72C38">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1.满足《中华人民共和国政府采购法》第二十二条规定。 </w:t>
      </w:r>
    </w:p>
    <w:p w14:paraId="08610B80">
      <w:pPr>
        <w:pStyle w:val="22"/>
        <w:ind w:left="0" w:leftChars="0" w:firstLine="560"/>
        <w:rPr>
          <w:rFonts w:ascii="仿宋_GB2312" w:hAnsi="仿宋_GB2312" w:eastAsia="仿宋_GB2312" w:cs="仿宋_GB2312"/>
          <w:b/>
          <w:sz w:val="28"/>
          <w:szCs w:val="28"/>
        </w:rPr>
      </w:pPr>
      <w:r>
        <w:rPr>
          <w:rFonts w:hint="eastAsia" w:ascii="仿宋_GB2312" w:hAnsi="仿宋_GB2312" w:eastAsia="仿宋_GB2312" w:cs="仿宋_GB2312"/>
          <w:kern w:val="2"/>
          <w:sz w:val="28"/>
          <w:szCs w:val="28"/>
          <w:lang w:val="en-US" w:eastAsia="zh-CN" w:bidi="ar-SA"/>
        </w:rPr>
        <w:t>2.相关业绩合同（提供业绩合同相关证明材料）</w:t>
      </w:r>
      <w:r>
        <w:rPr>
          <w:rFonts w:hint="eastAsia" w:ascii="仿宋_GB2312" w:hAnsi="仿宋_GB2312" w:eastAsia="仿宋_GB2312" w:cs="仿宋_GB2312"/>
          <w:sz w:val="28"/>
          <w:szCs w:val="28"/>
        </w:rPr>
        <w:t xml:space="preserve">    </w:t>
      </w:r>
    </w:p>
    <w:p w14:paraId="458333A0">
      <w:pPr>
        <w:spacing w:line="560" w:lineRule="exact"/>
        <w:jc w:val="left"/>
        <w:rPr>
          <w:rFonts w:hint="eastAsia" w:ascii="宋体" w:hAnsi="宋体" w:eastAsia="宋体" w:cs="宋体"/>
          <w:i w:val="0"/>
          <w:caps w:val="0"/>
          <w:color w:val="000000"/>
          <w:spacing w:val="0"/>
          <w:kern w:val="0"/>
          <w:sz w:val="30"/>
          <w:szCs w:val="30"/>
          <w:shd w:val="clear" w:fill="FFFFFF"/>
          <w:lang w:val="en-US" w:eastAsia="zh-CN" w:bidi="ar"/>
        </w:rPr>
      </w:pPr>
      <w:r>
        <w:rPr>
          <w:rFonts w:hint="eastAsia" w:ascii="宋体" w:hAnsi="宋体" w:eastAsia="宋体" w:cs="宋体"/>
          <w:i w:val="0"/>
          <w:caps w:val="0"/>
          <w:color w:val="000000"/>
          <w:spacing w:val="0"/>
          <w:kern w:val="0"/>
          <w:sz w:val="30"/>
          <w:szCs w:val="30"/>
          <w:shd w:val="clear" w:fill="FFFFFF"/>
          <w:lang w:val="en-US" w:eastAsia="zh-CN" w:bidi="ar"/>
        </w:rPr>
        <w:t>四、获取文件方式</w:t>
      </w:r>
    </w:p>
    <w:p w14:paraId="74EC5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1.方式：院内官网自行下载</w:t>
      </w:r>
    </w:p>
    <w:p w14:paraId="636809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2.询价响应时间：2025年6月12日至 2025年6月17日，每天上午9：00至12：00，下午14：30至17：00（北京时间，法定节假日除外）。</w:t>
      </w:r>
    </w:p>
    <w:p w14:paraId="5DC5EC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3.询价要求：规定时间内按要求编制好询价文件，密封完整后于2025 年6月17日17点00分前，送达阜阳市肿瘤医院颍河东路院区一号行政楼四楼招标采购办公室。</w:t>
      </w:r>
    </w:p>
    <w:p w14:paraId="288D8E3C">
      <w:pPr>
        <w:spacing w:line="560" w:lineRule="exact"/>
        <w:jc w:val="left"/>
        <w:rPr>
          <w:rFonts w:hint="eastAsia" w:ascii="宋体" w:hAnsi="宋体" w:eastAsia="宋体" w:cs="宋体"/>
          <w:i w:val="0"/>
          <w:caps w:val="0"/>
          <w:color w:val="000000"/>
          <w:spacing w:val="0"/>
          <w:kern w:val="0"/>
          <w:sz w:val="30"/>
          <w:szCs w:val="30"/>
          <w:shd w:val="clear" w:fill="FFFFFF"/>
          <w:lang w:val="en-US" w:eastAsia="zh-CN" w:bidi="ar"/>
        </w:rPr>
      </w:pPr>
      <w:r>
        <w:rPr>
          <w:rFonts w:hint="eastAsia" w:ascii="宋体" w:hAnsi="宋体" w:eastAsia="宋体" w:cs="宋体"/>
          <w:i w:val="0"/>
          <w:caps w:val="0"/>
          <w:color w:val="000000"/>
          <w:spacing w:val="0"/>
          <w:kern w:val="0"/>
          <w:sz w:val="30"/>
          <w:szCs w:val="30"/>
          <w:shd w:val="clear" w:fill="FFFFFF"/>
          <w:lang w:val="en-US" w:eastAsia="zh-CN" w:bidi="ar"/>
        </w:rPr>
        <w:t>五、响应文件提交、开启时间和地点</w:t>
      </w:r>
    </w:p>
    <w:p w14:paraId="3FF11E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开启时间：2025 年6月18日10点00分（北京时间）</w:t>
      </w:r>
    </w:p>
    <w:p w14:paraId="331B6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点：阜阳市肿瘤医院颍河东路院区一号行政楼四楼会议室</w:t>
      </w:r>
    </w:p>
    <w:p w14:paraId="4664151D">
      <w:pPr>
        <w:spacing w:line="560" w:lineRule="exact"/>
        <w:jc w:val="left"/>
        <w:rPr>
          <w:rFonts w:hint="eastAsia" w:ascii="宋体" w:hAnsi="宋体" w:eastAsia="宋体" w:cs="宋体"/>
          <w:i w:val="0"/>
          <w:caps w:val="0"/>
          <w:color w:val="000000"/>
          <w:spacing w:val="0"/>
          <w:kern w:val="0"/>
          <w:sz w:val="30"/>
          <w:szCs w:val="30"/>
          <w:shd w:val="clear" w:fill="FFFFFF"/>
          <w:lang w:val="en-US" w:eastAsia="zh-CN" w:bidi="ar"/>
        </w:rPr>
      </w:pPr>
      <w:r>
        <w:rPr>
          <w:rFonts w:hint="eastAsia" w:ascii="宋体" w:hAnsi="宋体" w:eastAsia="宋体" w:cs="宋体"/>
          <w:i w:val="0"/>
          <w:caps w:val="0"/>
          <w:color w:val="000000"/>
          <w:spacing w:val="0"/>
          <w:kern w:val="0"/>
          <w:sz w:val="30"/>
          <w:szCs w:val="30"/>
          <w:shd w:val="clear" w:fill="FFFFFF"/>
          <w:lang w:val="en-US" w:eastAsia="zh-CN" w:bidi="ar"/>
        </w:rPr>
        <w:t>六、凡对本次服务提出询问，请按以下方式联系</w:t>
      </w:r>
    </w:p>
    <w:p w14:paraId="06F925B8">
      <w:pPr>
        <w:spacing w:line="560" w:lineRule="exact"/>
        <w:ind w:firstLine="281" w:firstLineChars="1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采购人信息</w:t>
      </w:r>
    </w:p>
    <w:p w14:paraId="40DA7FF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名    称：阜阳市肿瘤医院（阜阳市颍东区人民医院）颍河东路院区</w:t>
      </w:r>
    </w:p>
    <w:p w14:paraId="5CE423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    址：阜阳市颍河东路1186号</w:t>
      </w:r>
    </w:p>
    <w:p w14:paraId="4E0442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联系方式：王老师、马老师  0558-7136703 </w:t>
      </w:r>
    </w:p>
    <w:p w14:paraId="663ACD4F">
      <w:pPr>
        <w:autoSpaceDE w:val="0"/>
        <w:autoSpaceDN w:val="0"/>
        <w:adjustRightInd w:val="0"/>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（电话咨询时间：工作日上午9:00至12:00，下午14:30至17:30）</w:t>
      </w:r>
    </w:p>
    <w:p w14:paraId="486E1C16">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5EDCC13">
      <w:pPr>
        <w:rPr>
          <w:rFonts w:ascii="黑体" w:hAnsi="黑体" w:eastAsia="黑体" w:cs="黑体"/>
          <w:bCs/>
          <w:sz w:val="44"/>
          <w:szCs w:val="44"/>
        </w:rPr>
      </w:pPr>
      <w:r>
        <w:rPr>
          <w:rFonts w:hint="eastAsia" w:ascii="黑体" w:hAnsi="黑体" w:eastAsia="黑体" w:cs="黑体"/>
          <w:bCs/>
          <w:sz w:val="44"/>
          <w:szCs w:val="44"/>
        </w:rPr>
        <w:br w:type="page"/>
      </w:r>
    </w:p>
    <w:p w14:paraId="2C4DCB7F">
      <w:pPr>
        <w:spacing w:line="560" w:lineRule="exact"/>
        <w:jc w:val="center"/>
        <w:outlineLvl w:val="0"/>
        <w:rPr>
          <w:rFonts w:ascii="黑体" w:hAnsi="黑体" w:eastAsia="黑体" w:cs="黑体"/>
          <w:bCs/>
          <w:sz w:val="44"/>
          <w:szCs w:val="44"/>
        </w:rPr>
      </w:pPr>
      <w:bookmarkStart w:id="1" w:name="_Toc7777"/>
      <w:r>
        <w:rPr>
          <w:rFonts w:hint="eastAsia" w:ascii="黑体" w:hAnsi="黑体" w:eastAsia="黑体" w:cs="黑体"/>
          <w:bCs/>
          <w:sz w:val="44"/>
          <w:szCs w:val="44"/>
        </w:rPr>
        <w:t>第二章</w:t>
      </w:r>
      <w:r>
        <w:rPr>
          <w:rFonts w:eastAsia="黑体" w:cs="Calibri"/>
          <w:bCs/>
          <w:sz w:val="44"/>
          <w:szCs w:val="44"/>
        </w:rPr>
        <w:t>  </w:t>
      </w:r>
      <w:r>
        <w:rPr>
          <w:rFonts w:hint="eastAsia" w:ascii="黑体" w:hAnsi="黑体" w:eastAsia="黑体" w:cs="黑体"/>
          <w:bCs/>
          <w:sz w:val="44"/>
          <w:szCs w:val="44"/>
        </w:rPr>
        <w:t>供应商须知</w:t>
      </w:r>
      <w:bookmarkEnd w:id="1"/>
    </w:p>
    <w:tbl>
      <w:tblPr>
        <w:tblStyle w:val="23"/>
        <w:tblW w:w="9741" w:type="dxa"/>
        <w:jc w:val="center"/>
        <w:tblLayout w:type="fixed"/>
        <w:tblCellMar>
          <w:top w:w="0" w:type="dxa"/>
          <w:left w:w="0" w:type="dxa"/>
          <w:bottom w:w="0" w:type="dxa"/>
          <w:right w:w="0" w:type="dxa"/>
        </w:tblCellMar>
      </w:tblPr>
      <w:tblGrid>
        <w:gridCol w:w="865"/>
        <w:gridCol w:w="2033"/>
        <w:gridCol w:w="6843"/>
      </w:tblGrid>
      <w:tr w14:paraId="2DD0FEAD">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04E09">
            <w:pPr>
              <w:widowControl/>
              <w:spacing w:before="100" w:beforeAutospacing="1" w:after="100" w:afterAutospacing="1" w:line="560" w:lineRule="exact"/>
              <w:ind w:right="-358"/>
              <w:rPr>
                <w:rFonts w:ascii="黑体" w:hAnsi="黑体" w:eastAsia="黑体" w:cs="黑体"/>
                <w:kern w:val="0"/>
                <w:sz w:val="32"/>
                <w:szCs w:val="32"/>
              </w:rPr>
            </w:pPr>
            <w:bookmarkStart w:id="2" w:name="_Hlt509650027"/>
            <w:bookmarkEnd w:id="2"/>
            <w:bookmarkStart w:id="3" w:name="_Hlt519045778"/>
            <w:bookmarkEnd w:id="3"/>
            <w:r>
              <w:rPr>
                <w:rFonts w:hint="eastAsia" w:ascii="黑体" w:hAnsi="黑体" w:eastAsia="黑体" w:cs="黑体"/>
                <w:color w:val="000000"/>
                <w:kern w:val="0"/>
                <w:sz w:val="32"/>
                <w:szCs w:val="32"/>
              </w:rPr>
              <w:t>序号</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19B94">
            <w:pPr>
              <w:widowControl/>
              <w:spacing w:before="100" w:beforeAutospacing="1" w:after="100" w:afterAutospacing="1" w:line="560" w:lineRule="exact"/>
              <w:jc w:val="center"/>
              <w:rPr>
                <w:rFonts w:ascii="黑体" w:hAnsi="黑体" w:eastAsia="黑体" w:cs="黑体"/>
                <w:kern w:val="0"/>
                <w:sz w:val="32"/>
                <w:szCs w:val="32"/>
              </w:rPr>
            </w:pPr>
            <w:r>
              <w:rPr>
                <w:rFonts w:hint="eastAsia" w:ascii="黑体" w:hAnsi="黑体" w:eastAsia="黑体" w:cs="黑体"/>
                <w:color w:val="000000"/>
                <w:kern w:val="0"/>
                <w:sz w:val="32"/>
                <w:szCs w:val="32"/>
              </w:rPr>
              <w:t>内    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87437F">
            <w:pPr>
              <w:widowControl/>
              <w:spacing w:before="100" w:beforeAutospacing="1" w:after="100" w:afterAutospacing="1" w:line="560" w:lineRule="exact"/>
              <w:jc w:val="center"/>
              <w:rPr>
                <w:rFonts w:ascii="黑体" w:hAnsi="黑体" w:eastAsia="黑体" w:cs="黑体"/>
                <w:kern w:val="0"/>
                <w:sz w:val="32"/>
                <w:szCs w:val="32"/>
              </w:rPr>
            </w:pPr>
            <w:r>
              <w:rPr>
                <w:rFonts w:hint="eastAsia" w:ascii="黑体" w:hAnsi="黑体" w:eastAsia="黑体" w:cs="黑体"/>
                <w:color w:val="000000"/>
                <w:kern w:val="0"/>
                <w:sz w:val="32"/>
                <w:szCs w:val="32"/>
              </w:rPr>
              <w:t>说明与要求</w:t>
            </w:r>
          </w:p>
        </w:tc>
      </w:tr>
      <w:tr w14:paraId="2DC2BC65">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1ACBB6">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2B95A5">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项目名称</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FA9B8A">
            <w:pPr>
              <w:spacing w:line="56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u w:val="none"/>
                <w:lang w:val="en-US" w:eastAsia="zh-CN"/>
              </w:rPr>
              <w:t>阜阳市肿瘤医院药品追溯码全流程闭环系统采购项目</w:t>
            </w:r>
          </w:p>
        </w:tc>
      </w:tr>
      <w:tr w14:paraId="4DFB914A">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96E945">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FC0C7">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采购人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B03D9B">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阜阳市肿瘤医院</w:t>
            </w:r>
            <w:r>
              <w:rPr>
                <w:rFonts w:hint="eastAsia" w:ascii="仿宋_GB2312" w:hAnsi="仿宋_GB2312" w:eastAsia="仿宋_GB2312" w:cs="仿宋_GB2312"/>
                <w:sz w:val="28"/>
                <w:szCs w:val="28"/>
                <w:u w:val="none"/>
                <w:lang w:val="en-US" w:eastAsia="zh-CN"/>
              </w:rPr>
              <w:t>（阜阳市颍东区人民医院）</w:t>
            </w:r>
          </w:p>
        </w:tc>
      </w:tr>
      <w:tr w14:paraId="2FC2B202">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156621">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EC372C">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服务代理机构</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522F5C">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w:t>
            </w:r>
          </w:p>
        </w:tc>
      </w:tr>
      <w:tr w14:paraId="223576C5">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76167D">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8A614">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资金来源</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092564">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自筹资金</w:t>
            </w:r>
          </w:p>
        </w:tc>
      </w:tr>
      <w:tr w14:paraId="138A549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5C4E89">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CF7F53">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服务范围</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C0D829">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kern w:val="0"/>
                <w:sz w:val="28"/>
                <w:szCs w:val="28"/>
              </w:rPr>
              <w:t>详见询比公告</w:t>
            </w:r>
          </w:p>
        </w:tc>
      </w:tr>
      <w:tr w14:paraId="3C9EEFE8">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DE8608">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7BFEE0">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标段划分</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A88A3F">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本项目共1个包（详见服务需求）</w:t>
            </w:r>
          </w:p>
        </w:tc>
      </w:tr>
      <w:tr w14:paraId="6D4C7563">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414463">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9732E1">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供应商资格要求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FF05FE">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详见询比公告</w:t>
            </w:r>
          </w:p>
        </w:tc>
      </w:tr>
      <w:tr w14:paraId="4E2AF65C">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8569D">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BB041F">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供应商信誉要求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84F177">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供应商必须有良好的社会信誉，在近三年来的投标活动和项目实施过程中没发生过违法违规等不良行为。</w:t>
            </w:r>
          </w:p>
        </w:tc>
      </w:tr>
      <w:tr w14:paraId="1B9A62A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2575B7">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B62964">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资格审查方式</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FF652B">
            <w:pPr>
              <w:widowControl/>
              <w:spacing w:before="100" w:beforeAutospacing="1" w:after="100" w:afterAutospacing="1"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□资格预审 </w:t>
            </w: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kern w:val="0"/>
                <w:sz w:val="28"/>
                <w:szCs w:val="28"/>
              </w:rPr>
              <w:t>资格后审</w:t>
            </w:r>
          </w:p>
        </w:tc>
      </w:tr>
      <w:tr w14:paraId="23CEB84C">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E992D9">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10</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E4FD3E">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是否接受联合体投标</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7C70A2">
            <w:pPr>
              <w:widowControl/>
              <w:spacing w:before="100" w:beforeAutospacing="1" w:after="100" w:afterAutospacing="1"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□接受    </w:t>
            </w: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color w:val="000000"/>
                <w:kern w:val="0"/>
                <w:sz w:val="28"/>
                <w:szCs w:val="28"/>
              </w:rPr>
              <w:t>不接受</w:t>
            </w:r>
          </w:p>
        </w:tc>
      </w:tr>
      <w:tr w14:paraId="68A2E533">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71C0DE">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405025">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投标预备会</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C337AB">
            <w:pPr>
              <w:widowControl/>
              <w:spacing w:before="100" w:beforeAutospacing="1" w:after="100" w:afterAutospacing="1"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kern w:val="0"/>
                <w:sz w:val="28"/>
                <w:szCs w:val="28"/>
              </w:rPr>
              <w:t>不召开  □召开</w:t>
            </w:r>
          </w:p>
        </w:tc>
      </w:tr>
      <w:tr w14:paraId="758836A7">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EB1B9F">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7AF9E">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勘察现场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9B6EE1">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kern w:val="0"/>
                <w:sz w:val="28"/>
                <w:szCs w:val="28"/>
              </w:rPr>
              <w:t>不组织  □组织</w:t>
            </w:r>
          </w:p>
        </w:tc>
      </w:tr>
      <w:tr w14:paraId="0D81B94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D4E25D">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00C87F">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分包</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76DF57">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color w:val="000000"/>
                <w:kern w:val="0"/>
                <w:sz w:val="28"/>
                <w:szCs w:val="28"/>
              </w:rPr>
              <w:t>不允许        □允许</w:t>
            </w:r>
          </w:p>
        </w:tc>
      </w:tr>
      <w:tr w14:paraId="19E3BCE1">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EEF297">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A26D52">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偏离</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7E1ED">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详见询比公告</w:t>
            </w:r>
          </w:p>
        </w:tc>
      </w:tr>
      <w:tr w14:paraId="3851CDFA">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B3231C">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6887EE">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投标有效期</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27B748">
            <w:pPr>
              <w:widowControl/>
              <w:spacing w:before="100" w:beforeAutospacing="1" w:after="100" w:afterAutospacing="1" w:line="400" w:lineRule="exact"/>
              <w:rPr>
                <w:rFonts w:ascii="仿宋_GB2312" w:hAnsi="仿宋_GB2312" w:eastAsia="仿宋_GB2312" w:cs="仿宋_GB2312"/>
                <w:kern w:val="0"/>
                <w:sz w:val="28"/>
                <w:szCs w:val="28"/>
              </w:rPr>
            </w:pPr>
            <w:r>
              <w:rPr>
                <w:rFonts w:ascii="仿宋_GB2312" w:hAnsi="仿宋_GB2312" w:eastAsia="仿宋_GB2312" w:cs="仿宋_GB2312"/>
                <w:color w:val="000000"/>
                <w:kern w:val="0"/>
                <w:sz w:val="28"/>
                <w:szCs w:val="28"/>
                <w:u w:val="single"/>
              </w:rPr>
              <w:t>120</w:t>
            </w:r>
            <w:r>
              <w:rPr>
                <w:rFonts w:hint="eastAsia" w:ascii="仿宋_GB2312" w:hAnsi="仿宋_GB2312" w:eastAsia="仿宋_GB2312" w:cs="仿宋_GB2312"/>
                <w:color w:val="000000"/>
                <w:kern w:val="0"/>
                <w:sz w:val="28"/>
                <w:szCs w:val="28"/>
              </w:rPr>
              <w:t>日历天（从投标截止之日算起）</w:t>
            </w:r>
          </w:p>
        </w:tc>
      </w:tr>
      <w:tr w14:paraId="46F40B88">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94C0D3">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E0C514">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投标保证金</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F06776">
            <w:pPr>
              <w:widowControl/>
              <w:spacing w:before="100" w:beforeAutospacing="1" w:after="100" w:afterAutospacing="1" w:line="40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本项目不适用</w:t>
            </w:r>
          </w:p>
        </w:tc>
      </w:tr>
      <w:tr w14:paraId="3103FE8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67A34E">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032F46">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是否允许递交备选投标方案</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3E3D3F">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color w:val="000000"/>
                <w:kern w:val="0"/>
                <w:sz w:val="28"/>
                <w:szCs w:val="28"/>
              </w:rPr>
              <w:t>不允许            □允许</w:t>
            </w:r>
          </w:p>
        </w:tc>
      </w:tr>
      <w:tr w14:paraId="612B3BC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26ED01">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587491">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供应商提出问题、要求澄清询比文件的截止时间及方式</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8C677D">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供应商报名成功（已获取询比文件或已具备获取询比文件条件的）后</w:t>
            </w: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日内,将异议函加盖公章后PDF扫描件和Word可编辑版本发至项目负责人邮箱450851438@qq.com，并电话告知项目负责人。</w:t>
            </w:r>
          </w:p>
        </w:tc>
      </w:tr>
      <w:tr w14:paraId="5C18B85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41D301">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98D842">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招标人或代理机构的答复时间</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1F16FE">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收到异议函后3日内作出答复</w:t>
            </w:r>
          </w:p>
        </w:tc>
      </w:tr>
      <w:tr w14:paraId="65DC28E9">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C5B7CF">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0</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4A8BB1">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响应文件份数</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40CCBE">
            <w:pPr>
              <w:adjustRightInd w:val="0"/>
              <w:snapToGrid w:val="0"/>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纸质版： 1份正本， 2份副本。</w:t>
            </w:r>
          </w:p>
          <w:p w14:paraId="282ABB1D">
            <w:pPr>
              <w:adjustRightInd w:val="0"/>
              <w:snapToGrid w:val="0"/>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是否要求提交电子版文件：要求；</w:t>
            </w:r>
          </w:p>
          <w:p w14:paraId="739DE9B3">
            <w:pPr>
              <w:adjustRightInd w:val="0"/>
              <w:snapToGrid w:val="0"/>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90C4EC3">
            <w:pPr>
              <w:adjustRightInd w:val="0"/>
              <w:snapToGrid w:val="0"/>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注：未按以上要求提交响应文件导致的不良后果由供应商自行承担。</w:t>
            </w:r>
          </w:p>
        </w:tc>
      </w:tr>
      <w:tr w14:paraId="67A9803E">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BB4902">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ascii="仿宋_GB2312" w:hAnsi="仿宋_GB2312" w:eastAsia="仿宋_GB2312" w:cs="仿宋_GB2312"/>
                <w:color w:val="000000"/>
                <w:kern w:val="0"/>
                <w:sz w:val="28"/>
                <w:szCs w:val="28"/>
              </w:rPr>
              <w:t>21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46142">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签字或盖章要求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7D52A0">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1.响应文件外封包的封口处须密封，并加盖供应商公章，否则响应文件将被拒绝；</w:t>
            </w:r>
          </w:p>
          <w:p w14:paraId="1A8E72BC">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2.响应文件签字、盖章符合响应文件格式要求（部分材料要求加盖供应商公章的，从其规定）；</w:t>
            </w:r>
          </w:p>
        </w:tc>
      </w:tr>
      <w:tr w14:paraId="1618D7C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934A64">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178BE2">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装订要求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E1DD23">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不得采用活页夹装订（宜用胶装），否则，服务代理机构对由于响应文件装订松散而造成的丢失或其他后果不承担任何责任。正副本分开装订，集中或分开密封包装均可。</w:t>
            </w:r>
          </w:p>
        </w:tc>
      </w:tr>
      <w:tr w14:paraId="4393AAA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C60BF7">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F3B157">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响应文件密封袋</w:t>
            </w:r>
          </w:p>
          <w:p w14:paraId="1C9C92D5">
            <w:pPr>
              <w:widowControl/>
              <w:spacing w:before="100" w:beforeAutospacing="1" w:after="100" w:afterAutospacing="1"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标识</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4A7F5F">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封套上应写明：   【正/副本】</w:t>
            </w:r>
          </w:p>
          <w:p w14:paraId="2B684E4F">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1.项目名称：               ；</w:t>
            </w:r>
          </w:p>
          <w:p w14:paraId="3EA8AAA3">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2.项目编号：                   ；</w:t>
            </w:r>
          </w:p>
          <w:p w14:paraId="138C330B">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3.供应商名称：                 ；</w:t>
            </w:r>
          </w:p>
          <w:p w14:paraId="1702114C">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   年</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月</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日</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时</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分（北京时间）前不得开启（同询比时间）</w:t>
            </w:r>
          </w:p>
        </w:tc>
      </w:tr>
      <w:tr w14:paraId="1C642F6E">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492658">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ascii="仿宋_GB2312" w:hAnsi="仿宋_GB2312" w:eastAsia="仿宋_GB2312" w:cs="仿宋_GB2312"/>
                <w:color w:val="000000"/>
                <w:kern w:val="0"/>
                <w:sz w:val="28"/>
                <w:szCs w:val="28"/>
              </w:rPr>
              <w:t>24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EF1DB9">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询比小组的组建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2484E8">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询比小组构成：3人及以上单数</w:t>
            </w:r>
          </w:p>
        </w:tc>
      </w:tr>
      <w:tr w14:paraId="6C3848F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356B95">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116F07">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是否授权询比小组确定成交人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CA9F04">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sym w:font="Wingdings 2" w:char="0052"/>
            </w:r>
            <w:r>
              <w:rPr>
                <w:rFonts w:hint="eastAsia" w:ascii="仿宋_GB2312" w:hAnsi="仿宋_GB2312" w:eastAsia="仿宋_GB2312" w:cs="仿宋_GB2312"/>
                <w:color w:val="000000"/>
                <w:kern w:val="0"/>
                <w:sz w:val="28"/>
                <w:szCs w:val="28"/>
              </w:rPr>
              <w:t>是     </w:t>
            </w:r>
            <w:r>
              <w:rPr>
                <w:rFonts w:hint="eastAsia" w:ascii="仿宋_GB2312" w:hAnsi="仿宋_GB2312" w:eastAsia="仿宋_GB2312" w:cs="仿宋_GB2312"/>
                <w:color w:val="000000"/>
                <w:kern w:val="0"/>
                <w:sz w:val="28"/>
                <w:szCs w:val="28"/>
              </w:rPr>
              <w:sym w:font="Wingdings 2" w:char="00A3"/>
            </w:r>
            <w:r>
              <w:rPr>
                <w:rFonts w:hint="eastAsia" w:ascii="仿宋_GB2312" w:hAnsi="仿宋_GB2312" w:eastAsia="仿宋_GB2312" w:cs="仿宋_GB2312"/>
                <w:color w:val="000000"/>
                <w:kern w:val="0"/>
                <w:sz w:val="28"/>
                <w:szCs w:val="28"/>
              </w:rPr>
              <w:t>否</w:t>
            </w:r>
          </w:p>
        </w:tc>
      </w:tr>
      <w:tr w14:paraId="4E87AEB7">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89FC97">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934322">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响应文件递交截止时间及询比时间</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BA14EC">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递交截止时间202</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lang w:val="en-US" w:eastAsia="zh-CN"/>
              </w:rPr>
              <w:t>16</w:t>
            </w:r>
            <w:r>
              <w:rPr>
                <w:rFonts w:hint="eastAsia" w:ascii="仿宋_GB2312" w:hAnsi="仿宋_GB2312" w:eastAsia="仿宋_GB2312" w:cs="仿宋_GB2312"/>
                <w:kern w:val="0"/>
                <w:sz w:val="28"/>
                <w:szCs w:val="28"/>
              </w:rPr>
              <w:t>日</w:t>
            </w:r>
            <w:r>
              <w:rPr>
                <w:rFonts w:hint="eastAsia" w:ascii="仿宋_GB2312" w:hAnsi="仿宋_GB2312" w:eastAsia="仿宋_GB2312" w:cs="仿宋_GB2312"/>
                <w:kern w:val="0"/>
                <w:sz w:val="28"/>
                <w:szCs w:val="28"/>
                <w:lang w:val="en-US" w:eastAsia="zh-CN"/>
              </w:rPr>
              <w:t>17</w:t>
            </w:r>
            <w:r>
              <w:rPr>
                <w:rFonts w:hint="eastAsia" w:ascii="仿宋_GB2312" w:hAnsi="仿宋_GB2312" w:eastAsia="仿宋_GB2312" w:cs="仿宋_GB2312"/>
                <w:kern w:val="0"/>
                <w:sz w:val="28"/>
                <w:szCs w:val="28"/>
              </w:rPr>
              <w:t>时</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kern w:val="0"/>
                <w:sz w:val="28"/>
                <w:szCs w:val="28"/>
              </w:rPr>
              <w:t>0分。</w:t>
            </w:r>
          </w:p>
        </w:tc>
      </w:tr>
      <w:tr w14:paraId="64C3DEB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65C756">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29491A">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响应文件递交及询比地点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48133E">
            <w:pPr>
              <w:autoSpaceDE w:val="0"/>
              <w:autoSpaceDN w:val="0"/>
              <w:adjustRightInd w:val="0"/>
              <w:spacing w:line="44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响应文件递交地点：</w:t>
            </w:r>
          </w:p>
          <w:p w14:paraId="213ED55B">
            <w:pPr>
              <w:autoSpaceDE w:val="0"/>
              <w:autoSpaceDN w:val="0"/>
              <w:adjustRightInd w:val="0"/>
              <w:spacing w:line="44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开标地点：同响应文件递交地点。</w:t>
            </w:r>
          </w:p>
        </w:tc>
      </w:tr>
      <w:tr w14:paraId="6D12CF3C">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29DBF5">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D99EC5">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完成</w:t>
            </w:r>
            <w:r>
              <w:rPr>
                <w:rFonts w:hint="eastAsia" w:ascii="仿宋_GB2312" w:hAnsi="仿宋_GB2312" w:eastAsia="仿宋_GB2312" w:cs="仿宋_GB2312"/>
                <w:sz w:val="28"/>
                <w:szCs w:val="28"/>
              </w:rPr>
              <w:t>期限</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E33A7C">
            <w:pPr>
              <w:autoSpaceDE w:val="0"/>
              <w:autoSpaceDN w:val="0"/>
              <w:adjustRightInd w:val="0"/>
              <w:spacing w:line="440" w:lineRule="exact"/>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highlight w:val="none"/>
                <w:lang w:val="en-US" w:eastAsia="zh-CN"/>
              </w:rPr>
              <w:t>合同签订后的7日内</w:t>
            </w:r>
          </w:p>
        </w:tc>
      </w:tr>
      <w:tr w14:paraId="6A4591BB">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ED9F35">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E02AC3">
            <w:pPr>
              <w:adjustRightInd w:val="0"/>
              <w:snapToGrid w:val="0"/>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代理服务费</w:t>
            </w:r>
          </w:p>
          <w:p w14:paraId="111464CE">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咨询费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B48ED9">
            <w:pPr>
              <w:autoSpaceDE w:val="0"/>
              <w:autoSpaceDN w:val="0"/>
              <w:adjustRightInd w:val="0"/>
              <w:spacing w:line="44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w:t>
            </w:r>
          </w:p>
        </w:tc>
      </w:tr>
      <w:tr w14:paraId="37F6CDA6">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E421">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0</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45E10B">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付款方式</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53D6F">
            <w:pPr>
              <w:widowControl/>
              <w:spacing w:before="100" w:beforeAutospacing="1" w:after="100" w:afterAutospacing="1" w:line="400" w:lineRule="exact"/>
              <w:rPr>
                <w:rFonts w:ascii="仿宋_GB2312" w:hAnsi="仿宋_GB2312" w:eastAsia="仿宋_GB2312" w:cs="仿宋_GB2312"/>
                <w:color w:val="0000FF"/>
                <w:kern w:val="0"/>
                <w:sz w:val="28"/>
                <w:szCs w:val="28"/>
              </w:rPr>
            </w:pPr>
            <w:r>
              <w:rPr>
                <w:rFonts w:hint="eastAsia" w:ascii="仿宋_GB2312" w:hAnsi="仿宋_GB2312" w:eastAsia="仿宋_GB2312" w:cs="仿宋_GB2312"/>
                <w:sz w:val="28"/>
                <w:szCs w:val="28"/>
                <w:highlight w:val="none"/>
                <w:lang w:val="en-US" w:eastAsia="zh-CN"/>
              </w:rPr>
              <w:t>验收合格后付款金额100％</w:t>
            </w:r>
            <w:r>
              <w:rPr>
                <w:rFonts w:hint="eastAsia" w:ascii="仿宋_GB2312" w:hAnsi="仿宋_GB2312" w:eastAsia="仿宋_GB2312" w:cs="仿宋_GB2312"/>
                <w:color w:val="000000"/>
                <w:kern w:val="0"/>
                <w:sz w:val="28"/>
                <w:szCs w:val="28"/>
                <w:highlight w:val="none"/>
              </w:rPr>
              <w:t>。</w:t>
            </w:r>
          </w:p>
        </w:tc>
      </w:tr>
      <w:tr w14:paraId="69BB0F9B">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335E76">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654F17">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最高投标限价</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1AB3F6">
            <w:pPr>
              <w:spacing w:line="400" w:lineRule="exac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最高限价</w:t>
            </w:r>
            <w:r>
              <w:rPr>
                <w:rFonts w:hint="eastAsia" w:ascii="仿宋_GB2312" w:hAnsi="仿宋_GB2312" w:eastAsia="仿宋_GB2312" w:cs="仿宋_GB2312"/>
                <w:sz w:val="28"/>
                <w:szCs w:val="28"/>
                <w:highlight w:val="none"/>
                <w:u w:val="single"/>
                <w:lang w:val="en-US" w:eastAsia="zh-CN"/>
              </w:rPr>
              <w:t>95000元。</w:t>
            </w:r>
          </w:p>
          <w:p w14:paraId="79667FD4">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供应商报价不得高于最高投标限价，否则将会被否决投标。</w:t>
            </w:r>
          </w:p>
        </w:tc>
      </w:tr>
      <w:tr w14:paraId="2606152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E74D8">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E05ADB">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注意事项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3440C3">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FF"/>
                <w:kern w:val="0"/>
                <w:sz w:val="28"/>
                <w:szCs w:val="28"/>
              </w:rPr>
              <w:t>本项目</w:t>
            </w:r>
            <w:r>
              <w:rPr>
                <w:rFonts w:hint="eastAsia" w:ascii="仿宋_GB2312" w:hAnsi="仿宋_GB2312" w:eastAsia="仿宋_GB2312" w:cs="仿宋_GB2312"/>
                <w:color w:val="0000FF"/>
                <w:kern w:val="0"/>
                <w:sz w:val="28"/>
                <w:szCs w:val="28"/>
                <w:lang w:val="en-US" w:eastAsia="zh-CN"/>
              </w:rPr>
              <w:t>不</w:t>
            </w:r>
            <w:r>
              <w:rPr>
                <w:rFonts w:hint="eastAsia" w:ascii="仿宋_GB2312" w:hAnsi="仿宋_GB2312" w:eastAsia="仿宋_GB2312" w:cs="仿宋_GB2312"/>
                <w:color w:val="0000FF"/>
                <w:kern w:val="0"/>
                <w:sz w:val="28"/>
                <w:szCs w:val="28"/>
              </w:rPr>
              <w:t>需要供应商的法定代表人或委托代理人到现场参加开标会议</w:t>
            </w:r>
            <w:r>
              <w:rPr>
                <w:rFonts w:hint="eastAsia" w:ascii="仿宋_GB2312" w:hAnsi="仿宋_GB2312" w:eastAsia="仿宋_GB2312" w:cs="仿宋_GB2312"/>
                <w:color w:val="0000FF"/>
                <w:kern w:val="0"/>
                <w:sz w:val="28"/>
                <w:szCs w:val="28"/>
                <w:lang w:eastAsia="zh-CN"/>
              </w:rPr>
              <w:t>，</w:t>
            </w:r>
            <w:r>
              <w:rPr>
                <w:rFonts w:hint="eastAsia" w:ascii="仿宋_GB2312" w:hAnsi="仿宋_GB2312" w:eastAsia="仿宋_GB2312" w:cs="仿宋_GB2312"/>
                <w:color w:val="0000FF"/>
                <w:kern w:val="0"/>
                <w:sz w:val="28"/>
                <w:szCs w:val="28"/>
                <w:lang w:val="en-US" w:eastAsia="zh-CN"/>
              </w:rPr>
              <w:t>但需保持电话畅通</w:t>
            </w:r>
            <w:r>
              <w:rPr>
                <w:rFonts w:hint="eastAsia" w:ascii="仿宋_GB2312" w:hAnsi="仿宋_GB2312" w:eastAsia="仿宋_GB2312" w:cs="仿宋_GB2312"/>
                <w:color w:val="000000"/>
                <w:kern w:val="0"/>
                <w:sz w:val="28"/>
                <w:szCs w:val="28"/>
              </w:rPr>
              <w:t>。项目评审阶段如需要解释响应文件但因联系不到供应商的，询比小组有权根据其响应文件作出不利于供应商的决定，导致的相关后果由供应商自行承担。</w:t>
            </w:r>
          </w:p>
        </w:tc>
      </w:tr>
      <w:tr w14:paraId="145A6C67">
        <w:tblPrEx>
          <w:tblCellMar>
            <w:top w:w="0" w:type="dxa"/>
            <w:left w:w="0" w:type="dxa"/>
            <w:bottom w:w="0" w:type="dxa"/>
            <w:right w:w="0" w:type="dxa"/>
          </w:tblCellMar>
        </w:tblPrEx>
        <w:trPr>
          <w:trHeight w:val="59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F77CA2">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183745">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其他要求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35E75">
            <w:pPr>
              <w:numPr>
                <w:ilvl w:val="0"/>
                <w:numId w:val="1"/>
              </w:num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0EC6A93B">
            <w:pPr>
              <w:numPr>
                <w:ilvl w:val="0"/>
                <w:numId w:val="1"/>
              </w:num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在获取询比文件后，应仔细阅读询比文件的服务清单、参数等各项条款，如有疑问应在询比文件规定时间前向采购人或服务代理机构提出，如到期未提出的，将被视为认可询比文件的所有内容，采购人或服务代理机构将不再接受供应商针对询比文件条款提出的任何疑问。</w:t>
            </w:r>
          </w:p>
          <w:p w14:paraId="6A24F260">
            <w:pPr>
              <w:numPr>
                <w:ilvl w:val="0"/>
                <w:numId w:val="1"/>
              </w:num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供应商若为经销商或代理商的，在项目中标后合同签订之前须根据采购人需要提供所投产品完整授权文件交由采购人核验，无法提供产品授权书的，采购人有权取消其中标资格。</w:t>
            </w:r>
          </w:p>
        </w:tc>
      </w:tr>
      <w:tr w14:paraId="579593D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210A9F">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1584C3">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备注</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916589">
            <w:pPr>
              <w:spacing w:line="360" w:lineRule="exac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信用信息查询渠道：中国政府采购网（www.ccgp.gov.cn）、“信用中国”网站</w:t>
            </w:r>
          </w:p>
          <w:p w14:paraId="0A90210D">
            <w:pPr>
              <w:spacing w:line="360" w:lineRule="exac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（www.creditchina.gov.cn）。</w:t>
            </w:r>
          </w:p>
        </w:tc>
      </w:tr>
      <w:tr w14:paraId="4B068967">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E17BC6">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846F9E">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询比文件的解释权</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74A858">
            <w:p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1FD91DC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DC16F8">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76FCF2">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询比响应文件内容不一致的确认</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1CE85A">
            <w:p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48BBC5D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92880E">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FAC019">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关于询比响应文件盖章的说明</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ADB0FF">
            <w:pPr>
              <w:widowControl/>
              <w:snapToGrid w:val="0"/>
              <w:spacing w:line="276" w:lineRule="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投标专用章、业务专用章等效力规定：</w:t>
            </w:r>
          </w:p>
          <w:p w14:paraId="05ADA73F">
            <w:pPr>
              <w:widowControl/>
              <w:snapToGrid w:val="0"/>
              <w:spacing w:line="276" w:lineRule="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04AE88EF">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FD1177">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7D4E47">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异议须知</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4CE724">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根据《中华人民共和国招标投标法》、《中华人民共和国招标投标实施条例》等法律法规,现将异议提起的条件及不予受理的情形告知如下:</w:t>
            </w:r>
          </w:p>
          <w:p w14:paraId="7AFBD9C9">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(一)异议应以书面形式实名提出,书面异议材料应当包括以下内容:</w:t>
            </w:r>
          </w:p>
          <w:p w14:paraId="0EAC8E1F">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1.异议人的名称、地址、有效联系方式；</w:t>
            </w:r>
          </w:p>
          <w:p w14:paraId="10D54C7A">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2.项目名称、项目编号、包别号(如有)；</w:t>
            </w:r>
          </w:p>
          <w:p w14:paraId="166A6BBE">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3.被异议人名称；</w:t>
            </w:r>
          </w:p>
          <w:p w14:paraId="46E6A1CD">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4.具体的异议事项、基本事实及必要的证明材料；</w:t>
            </w:r>
          </w:p>
          <w:p w14:paraId="3677E9B2">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5.明确的请求及主张；</w:t>
            </w:r>
          </w:p>
          <w:p w14:paraId="783A879B">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6.提起异议的日期。</w:t>
            </w:r>
          </w:p>
          <w:p w14:paraId="7DD4A94A">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异议人为法人或者其他组织的,应当由法定代表人或其委托代理人(需有委托授权书)签字并加盖公章。</w:t>
            </w:r>
          </w:p>
          <w:p w14:paraId="3AC4B527">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异议人需要修改、补充异议材料的,应当在异议期内提交修改或补充材料。</w:t>
            </w:r>
          </w:p>
          <w:p w14:paraId="1752760A">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(二)有下列情形之一的,不予受理:</w:t>
            </w:r>
          </w:p>
          <w:p w14:paraId="77BFBCA4">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1.提起异议的主体不是所异议项目供应商的；</w:t>
            </w:r>
          </w:p>
          <w:p w14:paraId="552DF881">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2.提起异议的时间超过规定时限的；</w:t>
            </w:r>
          </w:p>
          <w:p w14:paraId="45F520CC">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3.异议材料不完整的；</w:t>
            </w:r>
          </w:p>
          <w:p w14:paraId="3162E1D6">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4.异议事项含有主观猜测等内容且未提供有效线索、难以查证的；</w:t>
            </w:r>
          </w:p>
          <w:p w14:paraId="26452C2E">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5.对其他供应商的投标文件详细内容异议,无法提供合法来源渠道的；</w:t>
            </w:r>
          </w:p>
          <w:p w14:paraId="170EE700">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086EF1C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F7C1A4">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70A73B">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补充说明</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2F2BA8">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本项目实质性响应供应商不足三家时，经询比小组评估具备竞争性的，采购人有权利继续评审（评标办法将采用原评标办法）。</w:t>
            </w:r>
          </w:p>
        </w:tc>
      </w:tr>
    </w:tbl>
    <w:p w14:paraId="24924A9C">
      <w:pPr>
        <w:widowControl/>
        <w:jc w:val="both"/>
        <w:rPr>
          <w:rFonts w:ascii="黑体" w:hAnsi="黑体" w:eastAsia="黑体" w:cs="黑体"/>
          <w:bCs/>
          <w:sz w:val="44"/>
          <w:szCs w:val="44"/>
        </w:rPr>
      </w:pPr>
      <w:bookmarkStart w:id="4" w:name="_Toc27855"/>
    </w:p>
    <w:p w14:paraId="03725694">
      <w:pPr>
        <w:widowControl/>
        <w:jc w:val="center"/>
        <w:rPr>
          <w:rFonts w:ascii="黑体" w:hAnsi="黑体" w:eastAsia="黑体" w:cs="黑体"/>
          <w:bCs/>
          <w:sz w:val="44"/>
          <w:szCs w:val="44"/>
        </w:rPr>
      </w:pPr>
    </w:p>
    <w:bookmarkEnd w:id="4"/>
    <w:p w14:paraId="0F9AC917">
      <w:pPr>
        <w:widowControl/>
        <w:numPr>
          <w:ilvl w:val="0"/>
          <w:numId w:val="2"/>
        </w:numPr>
        <w:jc w:val="center"/>
        <w:outlineLvl w:val="0"/>
        <w:rPr>
          <w:rFonts w:hint="eastAsia" w:ascii="黑体" w:hAnsi="黑体" w:eastAsia="黑体" w:cs="黑体"/>
          <w:bCs/>
          <w:sz w:val="44"/>
          <w:szCs w:val="44"/>
        </w:rPr>
      </w:pPr>
      <w:r>
        <w:rPr>
          <w:rFonts w:hint="eastAsia" w:ascii="黑体" w:hAnsi="黑体" w:eastAsia="黑体" w:cs="黑体"/>
          <w:bCs/>
          <w:sz w:val="44"/>
          <w:szCs w:val="44"/>
        </w:rPr>
        <w:t>采购需求</w:t>
      </w:r>
    </w:p>
    <w:p w14:paraId="60E06B77">
      <w:pPr>
        <w:pStyle w:val="8"/>
        <w:rPr>
          <w:rFonts w:hint="eastAsia"/>
        </w:rPr>
      </w:pPr>
    </w:p>
    <w:p w14:paraId="4788E871">
      <w:pPr>
        <w:spacing w:line="400" w:lineRule="exact"/>
        <w:ind w:firstLine="560" w:firstLineChars="200"/>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满足国家医保局</w:t>
      </w:r>
      <w:r>
        <w:rPr>
          <w:rFonts w:hint="eastAsia" w:ascii="仿宋_GB2312" w:hAnsi="仿宋_GB2312" w:eastAsia="仿宋_GB2312" w:cs="仿宋_GB2312"/>
          <w:color w:val="000000"/>
          <w:kern w:val="0"/>
          <w:sz w:val="28"/>
          <w:szCs w:val="28"/>
          <w:lang w:val="en-US" w:eastAsia="zh-CN"/>
        </w:rPr>
        <w:t>《国家医疗保障局办公室关于加快推进定点医药机构医保药品追溯信息采集工作的通知》要求，</w:t>
      </w:r>
      <w:r>
        <w:rPr>
          <w:rFonts w:hint="default" w:ascii="仿宋_GB2312" w:hAnsi="仿宋_GB2312" w:eastAsia="仿宋_GB2312" w:cs="仿宋_GB2312"/>
          <w:color w:val="000000"/>
          <w:kern w:val="0"/>
          <w:sz w:val="28"/>
          <w:szCs w:val="28"/>
        </w:rPr>
        <w:t>三级定点医疗机构自2025年7月1</w:t>
      </w:r>
      <w:r>
        <w:rPr>
          <w:rFonts w:hint="default" w:ascii="仿宋_GB2312" w:hAnsi="仿宋_GB2312" w:eastAsia="仿宋_GB2312" w:cs="仿宋_GB2312"/>
          <w:color w:val="000000"/>
          <w:kern w:val="0"/>
          <w:sz w:val="28"/>
          <w:szCs w:val="28"/>
          <w:lang w:val="en-US" w:eastAsia="zh-CN"/>
        </w:rPr>
        <w:t>日</w:t>
      </w:r>
      <w:r>
        <w:rPr>
          <w:rFonts w:hint="default" w:ascii="仿宋_GB2312" w:hAnsi="仿宋_GB2312" w:eastAsia="仿宋_GB2312" w:cs="仿宋_GB2312"/>
          <w:color w:val="000000"/>
          <w:kern w:val="0"/>
          <w:sz w:val="28"/>
          <w:szCs w:val="28"/>
        </w:rPr>
        <w:t>起在销售医保药品时，必须全流程记录药品的购进、使用追溯码等信息。</w:t>
      </w:r>
    </w:p>
    <w:p w14:paraId="6E023649">
      <w:pPr>
        <w:pStyle w:val="8"/>
        <w:numPr>
          <w:ilvl w:val="0"/>
          <w:numId w:val="0"/>
        </w:numPr>
      </w:pPr>
    </w:p>
    <w:p w14:paraId="208864CA">
      <w:pPr>
        <w:keepNext w:val="0"/>
        <w:keepLines w:val="0"/>
        <w:pageBreakBefore w:val="0"/>
        <w:numPr>
          <w:ilvl w:val="0"/>
          <w:numId w:val="0"/>
        </w:numPr>
        <w:tabs>
          <w:tab w:val="left" w:pos="426"/>
        </w:tabs>
        <w:kinsoku/>
        <w:wordWrap/>
        <w:overflowPunct/>
        <w:topLinePunct w:val="0"/>
        <w:autoSpaceDE/>
        <w:autoSpaceDN/>
        <w:bidi w:val="0"/>
        <w:snapToGrid w:val="0"/>
        <w:spacing w:line="360" w:lineRule="auto"/>
        <w:outlineLvl w:val="9"/>
        <w:rPr>
          <w:rFonts w:hint="default" w:ascii="Times New Roman" w:hAnsi="Times New Roman" w:eastAsia="宋体" w:cs="Times New Roman"/>
          <w:b/>
          <w:bCs/>
          <w:sz w:val="32"/>
          <w:szCs w:val="32"/>
          <w:highlight w:val="none"/>
        </w:rPr>
      </w:pPr>
      <w:bookmarkStart w:id="5" w:name="_Toc7815"/>
      <w:r>
        <w:rPr>
          <w:rFonts w:hint="eastAsia" w:ascii="Times New Roman" w:hAnsi="Times New Roman" w:cs="Times New Roman"/>
          <w:b/>
          <w:bCs/>
          <w:sz w:val="32"/>
          <w:szCs w:val="32"/>
          <w:highlight w:val="none"/>
          <w:lang w:val="en-US" w:eastAsia="zh-CN"/>
        </w:rPr>
        <w:t>一、</w:t>
      </w:r>
      <w:r>
        <w:rPr>
          <w:rFonts w:hint="default" w:ascii="Times New Roman" w:hAnsi="Times New Roman" w:eastAsia="宋体" w:cs="Times New Roman"/>
          <w:b/>
          <w:bCs/>
          <w:sz w:val="32"/>
          <w:szCs w:val="32"/>
          <w:highlight w:val="none"/>
        </w:rPr>
        <w:t>技术要求</w:t>
      </w:r>
    </w:p>
    <w:p w14:paraId="51052F7D">
      <w:pPr>
        <w:keepNext w:val="0"/>
        <w:keepLines w:val="0"/>
        <w:pageBreakBefore w:val="0"/>
        <w:numPr>
          <w:ilvl w:val="0"/>
          <w:numId w:val="3"/>
        </w:numPr>
        <w:kinsoku/>
        <w:wordWrap/>
        <w:overflowPunct/>
        <w:topLinePunct w:val="0"/>
        <w:autoSpaceDE/>
        <w:autoSpaceDN/>
        <w:bidi w:val="0"/>
        <w:snapToGrid w:val="0"/>
        <w:spacing w:line="360" w:lineRule="auto"/>
        <w:outlineLvl w:val="9"/>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功能要求（应用服务功能至少达到以下列表中的要求）：</w:t>
      </w:r>
    </w:p>
    <w:tbl>
      <w:tblPr>
        <w:tblStyle w:val="23"/>
        <w:tblW w:w="910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768"/>
        <w:gridCol w:w="5918"/>
      </w:tblGrid>
      <w:tr w14:paraId="72DA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noWrap w:val="0"/>
            <w:vAlign w:val="center"/>
          </w:tcPr>
          <w:p w14:paraId="662D5CB0">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序号</w:t>
            </w:r>
          </w:p>
        </w:tc>
        <w:tc>
          <w:tcPr>
            <w:tcW w:w="2619" w:type="dxa"/>
            <w:gridSpan w:val="2"/>
            <w:noWrap w:val="0"/>
            <w:vAlign w:val="center"/>
          </w:tcPr>
          <w:p w14:paraId="27224435">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功能要求</w:t>
            </w:r>
          </w:p>
        </w:tc>
        <w:tc>
          <w:tcPr>
            <w:tcW w:w="5918" w:type="dxa"/>
            <w:noWrap w:val="0"/>
            <w:vAlign w:val="center"/>
          </w:tcPr>
          <w:p w14:paraId="299FCADB">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描述</w:t>
            </w:r>
          </w:p>
        </w:tc>
      </w:tr>
      <w:tr w14:paraId="57AF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Merge w:val="restart"/>
            <w:noWrap w:val="0"/>
            <w:vAlign w:val="center"/>
          </w:tcPr>
          <w:p w14:paraId="137C864F">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619" w:type="dxa"/>
            <w:gridSpan w:val="2"/>
            <w:vMerge w:val="restart"/>
            <w:noWrap w:val="0"/>
            <w:vAlign w:val="center"/>
          </w:tcPr>
          <w:p w14:paraId="36E33175">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系统软件功能要求</w:t>
            </w:r>
          </w:p>
        </w:tc>
        <w:tc>
          <w:tcPr>
            <w:tcW w:w="5918" w:type="dxa"/>
            <w:noWrap w:val="0"/>
            <w:vAlign w:val="top"/>
          </w:tcPr>
          <w:p w14:paraId="52575FD3">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bidi="ar"/>
              </w:rPr>
              <w:t>★</w:t>
            </w:r>
            <w:r>
              <w:rPr>
                <w:rFonts w:hint="default" w:ascii="Times New Roman" w:hAnsi="Times New Roman" w:eastAsia="宋体" w:cs="Times New Roman"/>
                <w:sz w:val="24"/>
                <w:szCs w:val="24"/>
              </w:rPr>
              <w:t>1.1数据接口：与码上放心平台、省药品采购平台、HIS系统、发药机系统等无缝对接，支持视图方式、WEBSERVICE方式</w:t>
            </w:r>
            <w:r>
              <w:rPr>
                <w:rFonts w:hint="default" w:ascii="Times New Roman" w:hAnsi="Times New Roman" w:eastAsia="宋体" w:cs="Times New Roman"/>
                <w:sz w:val="24"/>
                <w:szCs w:val="24"/>
                <w:highlight w:val="none"/>
              </w:rPr>
              <w:t>、API方式等。通过追溯码获取药品的批号和效期，方便药房对药品的效期和批号管理。</w:t>
            </w:r>
            <w:bookmarkStart w:id="6" w:name="OLE_LINK1"/>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lang w:val="en-US" w:eastAsia="zh-CN"/>
              </w:rPr>
              <w:t>提供系统截图</w:t>
            </w:r>
            <w:bookmarkEnd w:id="6"/>
            <w:r>
              <w:rPr>
                <w:rFonts w:hint="default" w:ascii="Times New Roman" w:hAnsi="Times New Roman" w:eastAsia="宋体" w:cs="Times New Roman"/>
                <w:b/>
                <w:bCs/>
                <w:sz w:val="24"/>
                <w:szCs w:val="24"/>
                <w:highlight w:val="none"/>
                <w:lang w:eastAsia="zh-CN"/>
              </w:rPr>
              <w:t>）</w:t>
            </w:r>
          </w:p>
        </w:tc>
      </w:tr>
      <w:tr w14:paraId="1236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Merge w:val="continue"/>
            <w:noWrap w:val="0"/>
            <w:vAlign w:val="center"/>
          </w:tcPr>
          <w:p w14:paraId="19B66F9E">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2619" w:type="dxa"/>
            <w:gridSpan w:val="2"/>
            <w:vMerge w:val="continue"/>
            <w:noWrap w:val="0"/>
            <w:vAlign w:val="center"/>
          </w:tcPr>
          <w:p w14:paraId="4EADDCB9">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5918" w:type="dxa"/>
            <w:noWrap w:val="0"/>
            <w:vAlign w:val="top"/>
          </w:tcPr>
          <w:p w14:paraId="19A1D73B">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1.2为满足多系统之间互联互通要求，方便后期对数据接口以及软件故障排查，系统需具备日志功能，方便后期日常维护工作。</w:t>
            </w:r>
          </w:p>
        </w:tc>
      </w:tr>
      <w:tr w14:paraId="1A06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Merge w:val="continue"/>
            <w:noWrap w:val="0"/>
            <w:vAlign w:val="center"/>
          </w:tcPr>
          <w:p w14:paraId="228A51F9">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2619" w:type="dxa"/>
            <w:gridSpan w:val="2"/>
            <w:vMerge w:val="continue"/>
            <w:noWrap w:val="0"/>
            <w:vAlign w:val="center"/>
          </w:tcPr>
          <w:p w14:paraId="25B66E8E">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5918" w:type="dxa"/>
            <w:noWrap w:val="0"/>
            <w:vAlign w:val="top"/>
          </w:tcPr>
          <w:p w14:paraId="2A43F379">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rPr>
              <w:t>1.3系统自带药品字典库（包含药品追溯码信息），支持接口对接和手工维护两种方式，至少能存储1年的药品追溯码数据。</w:t>
            </w:r>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lang w:val="en-US" w:eastAsia="zh-CN"/>
              </w:rPr>
              <w:t>提供系统截图）</w:t>
            </w:r>
          </w:p>
        </w:tc>
      </w:tr>
      <w:tr w14:paraId="0FF4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Merge w:val="continue"/>
            <w:noWrap w:val="0"/>
            <w:vAlign w:val="center"/>
          </w:tcPr>
          <w:p w14:paraId="28149594">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2619" w:type="dxa"/>
            <w:gridSpan w:val="2"/>
            <w:vMerge w:val="continue"/>
            <w:noWrap w:val="0"/>
            <w:vAlign w:val="center"/>
          </w:tcPr>
          <w:p w14:paraId="051CCFC3">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p>
        </w:tc>
        <w:tc>
          <w:tcPr>
            <w:tcW w:w="5918" w:type="dxa"/>
            <w:noWrap w:val="0"/>
            <w:vAlign w:val="top"/>
          </w:tcPr>
          <w:p w14:paraId="7906B200">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rPr>
              <w:t>1.4系统设备可以提前将拆零药品信息维护进库，发药时自动判定拆零药品，在发药或配药显示为已赋码。</w:t>
            </w:r>
            <w:bookmarkStart w:id="7" w:name="OLE_LINK2"/>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lang w:val="en-US" w:eastAsia="zh-CN"/>
              </w:rPr>
              <w:t>提供系统截图）</w:t>
            </w:r>
            <w:bookmarkEnd w:id="7"/>
          </w:p>
        </w:tc>
      </w:tr>
      <w:tr w14:paraId="6F72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Merge w:val="continue"/>
            <w:noWrap w:val="0"/>
            <w:vAlign w:val="center"/>
          </w:tcPr>
          <w:p w14:paraId="2EE4AADC">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2619" w:type="dxa"/>
            <w:gridSpan w:val="2"/>
            <w:vMerge w:val="continue"/>
            <w:noWrap w:val="0"/>
            <w:vAlign w:val="center"/>
          </w:tcPr>
          <w:p w14:paraId="7D06889E">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p>
        </w:tc>
        <w:tc>
          <w:tcPr>
            <w:tcW w:w="5918" w:type="dxa"/>
            <w:noWrap w:val="0"/>
            <w:vAlign w:val="top"/>
          </w:tcPr>
          <w:p w14:paraId="756F94D7">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rPr>
              <w:t>1.5系统设备可以将患者处方信息与扫描到的追溯码信息进行绑定和核对，当追溯码信息有误或完全正确时，可语音播报提示药师，完成药品与处方的二次核对。</w:t>
            </w:r>
            <w:bookmarkStart w:id="8" w:name="OLE_LINK3"/>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lang w:val="en-US" w:eastAsia="zh-CN"/>
              </w:rPr>
              <w:t>提供系统截图）</w:t>
            </w:r>
            <w:bookmarkEnd w:id="8"/>
          </w:p>
        </w:tc>
      </w:tr>
      <w:tr w14:paraId="5618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restart"/>
            <w:noWrap w:val="0"/>
            <w:vAlign w:val="center"/>
          </w:tcPr>
          <w:p w14:paraId="7726A1C6">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851" w:type="dxa"/>
            <w:vMerge w:val="restart"/>
            <w:noWrap w:val="0"/>
            <w:vAlign w:val="center"/>
          </w:tcPr>
          <w:p w14:paraId="229E8D0D">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追溯码入库</w:t>
            </w:r>
          </w:p>
        </w:tc>
        <w:tc>
          <w:tcPr>
            <w:tcW w:w="1768" w:type="dxa"/>
            <w:noWrap w:val="0"/>
            <w:vAlign w:val="center"/>
          </w:tcPr>
          <w:p w14:paraId="597A5514">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订单上传</w:t>
            </w:r>
          </w:p>
        </w:tc>
        <w:tc>
          <w:tcPr>
            <w:tcW w:w="5918" w:type="dxa"/>
            <w:noWrap w:val="0"/>
            <w:vAlign w:val="top"/>
          </w:tcPr>
          <w:p w14:paraId="5542455C">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接入省级药品采购平台，根据采购计划自动生成匹配模板，支持批量上传至省采平台，无需人工逐条录入</w:t>
            </w:r>
          </w:p>
          <w:p w14:paraId="4E8E5339">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p>
        </w:tc>
      </w:tr>
      <w:tr w14:paraId="2857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72564FB3">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0168D778">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4FFB06EE">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FF0000"/>
                <w:sz w:val="24"/>
                <w:szCs w:val="24"/>
              </w:rPr>
            </w:pPr>
            <w:r>
              <w:rPr>
                <w:rFonts w:hint="default" w:ascii="Times New Roman" w:hAnsi="Times New Roman" w:eastAsia="宋体" w:cs="Times New Roman"/>
                <w:color w:val="auto"/>
                <w:sz w:val="24"/>
                <w:szCs w:val="24"/>
              </w:rPr>
              <w:t>目录变更提醒</w:t>
            </w:r>
          </w:p>
        </w:tc>
        <w:tc>
          <w:tcPr>
            <w:tcW w:w="5918" w:type="dxa"/>
            <w:noWrap w:val="0"/>
            <w:vAlign w:val="top"/>
          </w:tcPr>
          <w:p w14:paraId="3D3CE4FE">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目录里面药品价格、配送关系、集采目录、医保码的变更，需要能够及时通知变更信息</w:t>
            </w:r>
            <w:r>
              <w:rPr>
                <w:rFonts w:hint="default" w:ascii="Times New Roman" w:hAnsi="Times New Roman" w:eastAsia="宋体" w:cs="Times New Roman"/>
                <w:color w:val="auto"/>
                <w:sz w:val="24"/>
                <w:szCs w:val="24"/>
              </w:rPr>
              <w:br w:type="textWrapping"/>
            </w:r>
          </w:p>
        </w:tc>
      </w:tr>
      <w:tr w14:paraId="7C9D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0DE99C1A">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33A141A3">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0F4048CE">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发票检验功能</w:t>
            </w:r>
          </w:p>
        </w:tc>
        <w:tc>
          <w:tcPr>
            <w:tcW w:w="5918" w:type="dxa"/>
            <w:noWrap w:val="0"/>
            <w:vAlign w:val="top"/>
          </w:tcPr>
          <w:p w14:paraId="10B3DC7C">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★具备对发票票面药品属性自动分类（集采、非集采等需要人工区分属性），实现药品采购的发票自动通过税务的验真、验重能力</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提供系统截图</w:t>
            </w:r>
            <w:r>
              <w:rPr>
                <w:rFonts w:hint="default" w:ascii="Times New Roman" w:hAnsi="Times New Roman" w:eastAsia="宋体" w:cs="Times New Roman"/>
                <w:b/>
                <w:bCs/>
                <w:color w:val="auto"/>
                <w:sz w:val="24"/>
                <w:szCs w:val="24"/>
                <w:highlight w:val="none"/>
                <w:lang w:eastAsia="zh-CN"/>
              </w:rPr>
              <w:t>）</w:t>
            </w:r>
          </w:p>
        </w:tc>
      </w:tr>
      <w:tr w14:paraId="4966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04433026">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79F7AA87">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0A944524">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上游配送企业赋码</w:t>
            </w:r>
          </w:p>
        </w:tc>
        <w:tc>
          <w:tcPr>
            <w:tcW w:w="5918" w:type="dxa"/>
            <w:noWrap w:val="0"/>
            <w:vAlign w:val="top"/>
          </w:tcPr>
          <w:p w14:paraId="6D95FFA4">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★支持配送公司批量上传药品详细信息（包括追溯码、批号、效期等）。通过扫码</w:t>
            </w:r>
            <w:r>
              <w:rPr>
                <w:rFonts w:hint="default" w:ascii="Times New Roman" w:hAnsi="Times New Roman" w:eastAsia="宋体" w:cs="Times New Roman"/>
                <w:color w:val="auto"/>
                <w:sz w:val="24"/>
                <w:szCs w:val="24"/>
                <w:highlight w:val="none"/>
              </w:rPr>
              <w:t>配送单或发票二维码，获取完整药品信息并确认入库，形成院内追溯码信息库</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提供系统截图）</w:t>
            </w:r>
          </w:p>
        </w:tc>
      </w:tr>
      <w:tr w14:paraId="0F3B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00CE2D9A">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14A1AF2E">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0890C1D1">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收货确认</w:t>
            </w:r>
          </w:p>
        </w:tc>
        <w:tc>
          <w:tcPr>
            <w:tcW w:w="5918" w:type="dxa"/>
            <w:noWrap w:val="0"/>
            <w:vAlign w:val="top"/>
          </w:tcPr>
          <w:p w14:paraId="103840FF">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根据药品的发货信息，药品确认收货工作后，进行收货数据省招采平台自动回传。</w:t>
            </w:r>
          </w:p>
        </w:tc>
      </w:tr>
      <w:tr w14:paraId="4DC5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0B0037CF">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7B7E5740">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68B43292">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基础报表</w:t>
            </w:r>
          </w:p>
        </w:tc>
        <w:tc>
          <w:tcPr>
            <w:tcW w:w="5918" w:type="dxa"/>
            <w:noWrap w:val="0"/>
            <w:vAlign w:val="top"/>
          </w:tcPr>
          <w:p w14:paraId="28F996D1">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药品采购统计查询。</w:t>
            </w:r>
          </w:p>
        </w:tc>
      </w:tr>
      <w:tr w14:paraId="48BA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restart"/>
            <w:noWrap w:val="0"/>
            <w:vAlign w:val="center"/>
          </w:tcPr>
          <w:p w14:paraId="2CFB3214">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851" w:type="dxa"/>
            <w:vMerge w:val="restart"/>
            <w:noWrap w:val="0"/>
            <w:vAlign w:val="center"/>
          </w:tcPr>
          <w:p w14:paraId="0184AFB7">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药品追溯码精益化管理</w:t>
            </w:r>
          </w:p>
        </w:tc>
        <w:tc>
          <w:tcPr>
            <w:tcW w:w="1768" w:type="dxa"/>
            <w:noWrap w:val="0"/>
            <w:vAlign w:val="center"/>
          </w:tcPr>
          <w:p w14:paraId="095FF6B8">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采购入库采集</w:t>
            </w:r>
          </w:p>
        </w:tc>
        <w:tc>
          <w:tcPr>
            <w:tcW w:w="5918" w:type="dxa"/>
            <w:noWrap w:val="0"/>
            <w:vAlign w:val="top"/>
          </w:tcPr>
          <w:p w14:paraId="36CE9B99">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药品采购入库业务的溯源码扫码、数据采集、解析、转化、存储。</w:t>
            </w:r>
          </w:p>
          <w:p w14:paraId="2901E945">
            <w:pPr>
              <w:pStyle w:val="8"/>
              <w:rPr>
                <w:rFonts w:hint="default"/>
                <w:color w:val="auto"/>
              </w:rPr>
            </w:pPr>
          </w:p>
        </w:tc>
      </w:tr>
      <w:tr w14:paraId="03F5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6AC65F12">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1461B125">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color w:val="auto"/>
                <w:sz w:val="24"/>
                <w:szCs w:val="24"/>
              </w:rPr>
            </w:pPr>
          </w:p>
        </w:tc>
        <w:tc>
          <w:tcPr>
            <w:tcW w:w="1768" w:type="dxa"/>
            <w:noWrap w:val="0"/>
            <w:vAlign w:val="center"/>
          </w:tcPr>
          <w:p w14:paraId="0D8C5B3C">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追溯码大小包装解析</w:t>
            </w:r>
          </w:p>
        </w:tc>
        <w:tc>
          <w:tcPr>
            <w:tcW w:w="5918" w:type="dxa"/>
            <w:noWrap w:val="0"/>
            <w:vAlign w:val="top"/>
          </w:tcPr>
          <w:p w14:paraId="774D3A9D">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对药品大、中、小包装的追溯码关系解析获取</w:t>
            </w:r>
          </w:p>
        </w:tc>
      </w:tr>
      <w:tr w14:paraId="3FF4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207021F7">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5C20EEE8">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color w:val="auto"/>
                <w:sz w:val="24"/>
                <w:szCs w:val="24"/>
              </w:rPr>
            </w:pPr>
          </w:p>
        </w:tc>
        <w:tc>
          <w:tcPr>
            <w:tcW w:w="1768" w:type="dxa"/>
            <w:noWrap w:val="0"/>
            <w:vAlign w:val="center"/>
          </w:tcPr>
          <w:p w14:paraId="7814A674">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追溯码信息获取</w:t>
            </w:r>
          </w:p>
        </w:tc>
        <w:tc>
          <w:tcPr>
            <w:tcW w:w="5918" w:type="dxa"/>
            <w:noWrap w:val="0"/>
            <w:vAlign w:val="top"/>
          </w:tcPr>
          <w:p w14:paraId="0A58F4B0">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按照追溯码获取药品的信息，包括通用名、商品名、批准文号、规格型号、包装、效期</w:t>
            </w:r>
          </w:p>
        </w:tc>
      </w:tr>
      <w:tr w14:paraId="18AC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498860EA">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420BDCA7">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color w:val="auto"/>
                <w:sz w:val="24"/>
                <w:szCs w:val="24"/>
              </w:rPr>
            </w:pPr>
          </w:p>
        </w:tc>
        <w:tc>
          <w:tcPr>
            <w:tcW w:w="1768" w:type="dxa"/>
            <w:noWrap w:val="0"/>
            <w:vAlign w:val="center"/>
          </w:tcPr>
          <w:p w14:paraId="4B4A9474">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“码上放心”追溯码库连接解析</w:t>
            </w:r>
          </w:p>
        </w:tc>
        <w:tc>
          <w:tcPr>
            <w:tcW w:w="5918" w:type="dxa"/>
            <w:noWrap w:val="0"/>
            <w:vAlign w:val="center"/>
          </w:tcPr>
          <w:p w14:paraId="6C631A8C">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链接阿里健康码上放心采追溯码库进行追溯码的解析</w:t>
            </w:r>
          </w:p>
        </w:tc>
      </w:tr>
      <w:tr w14:paraId="4D0C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2D9C9711">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1146E60C">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color w:val="auto"/>
                <w:sz w:val="24"/>
                <w:szCs w:val="24"/>
              </w:rPr>
            </w:pPr>
          </w:p>
        </w:tc>
        <w:tc>
          <w:tcPr>
            <w:tcW w:w="1768" w:type="dxa"/>
            <w:noWrap w:val="0"/>
            <w:vAlign w:val="center"/>
          </w:tcPr>
          <w:p w14:paraId="500F5CCE">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信息安全保障</w:t>
            </w:r>
          </w:p>
        </w:tc>
        <w:tc>
          <w:tcPr>
            <w:tcW w:w="5918" w:type="dxa"/>
            <w:noWrap w:val="0"/>
            <w:vAlign w:val="center"/>
          </w:tcPr>
          <w:p w14:paraId="66F08F73">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2"/>
                <w:sz w:val="24"/>
                <w:szCs w:val="24"/>
                <w:lang w:val="en-US" w:eastAsia="zh-CN" w:bidi="ar-SA"/>
              </w:rPr>
              <w:t>药品追溯码院内全流程管理在重要节点可以引入区块链技术，增强数据防篡改能力</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提供系统截图</w:t>
            </w:r>
            <w:r>
              <w:rPr>
                <w:rFonts w:hint="default" w:ascii="Times New Roman" w:hAnsi="Times New Roman" w:eastAsia="宋体" w:cs="Times New Roman"/>
                <w:b/>
                <w:bCs/>
                <w:color w:val="auto"/>
                <w:sz w:val="24"/>
                <w:szCs w:val="24"/>
                <w:highlight w:val="none"/>
                <w:lang w:eastAsia="zh-CN"/>
              </w:rPr>
              <w:t>）</w:t>
            </w:r>
          </w:p>
        </w:tc>
      </w:tr>
      <w:tr w14:paraId="658E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4ECCBE94">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3C1F04D6">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color w:val="auto"/>
                <w:sz w:val="24"/>
                <w:szCs w:val="24"/>
              </w:rPr>
            </w:pPr>
          </w:p>
        </w:tc>
        <w:tc>
          <w:tcPr>
            <w:tcW w:w="1768" w:type="dxa"/>
            <w:noWrap w:val="0"/>
            <w:vAlign w:val="center"/>
          </w:tcPr>
          <w:p w14:paraId="39C31F3B">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院内追溯码信息库</w:t>
            </w:r>
          </w:p>
        </w:tc>
        <w:tc>
          <w:tcPr>
            <w:tcW w:w="5918" w:type="dxa"/>
            <w:noWrap w:val="0"/>
            <w:vAlign w:val="top"/>
          </w:tcPr>
          <w:p w14:paraId="301AC251">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在院内形成验收入库后的追溯码信息库，将入库信息和追溯码对应，供发药和消耗核销</w:t>
            </w:r>
          </w:p>
        </w:tc>
      </w:tr>
      <w:tr w14:paraId="683A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38E9C1D3">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005224B6">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color w:val="auto"/>
                <w:sz w:val="24"/>
                <w:szCs w:val="24"/>
              </w:rPr>
            </w:pPr>
          </w:p>
        </w:tc>
        <w:tc>
          <w:tcPr>
            <w:tcW w:w="1768" w:type="dxa"/>
            <w:noWrap w:val="0"/>
            <w:vAlign w:val="center"/>
          </w:tcPr>
          <w:p w14:paraId="5F2A0EAE">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数据上传准备</w:t>
            </w:r>
          </w:p>
        </w:tc>
        <w:tc>
          <w:tcPr>
            <w:tcW w:w="5918" w:type="dxa"/>
            <w:noWrap w:val="0"/>
            <w:vAlign w:val="top"/>
          </w:tcPr>
          <w:p w14:paraId="612BB2C6">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生成追溯码记录表，直接上传或HIS上传医保两定接口。</w:t>
            </w:r>
          </w:p>
        </w:tc>
      </w:tr>
      <w:tr w14:paraId="5E95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269F5B31">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43ADDE08">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color w:val="auto"/>
                <w:sz w:val="24"/>
                <w:szCs w:val="24"/>
              </w:rPr>
            </w:pPr>
          </w:p>
        </w:tc>
        <w:tc>
          <w:tcPr>
            <w:tcW w:w="1768" w:type="dxa"/>
            <w:noWrap w:val="0"/>
            <w:vAlign w:val="center"/>
          </w:tcPr>
          <w:p w14:paraId="714D67F8">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门诊发药采集</w:t>
            </w:r>
          </w:p>
        </w:tc>
        <w:tc>
          <w:tcPr>
            <w:tcW w:w="5918" w:type="dxa"/>
            <w:noWrap w:val="0"/>
            <w:vAlign w:val="top"/>
          </w:tcPr>
          <w:p w14:paraId="381955BB">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处方发药，利用高拍仪批量快速采集追溯码</w:t>
            </w:r>
          </w:p>
        </w:tc>
      </w:tr>
      <w:tr w14:paraId="68A0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25D1E3BF">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7A6A176A">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0C1F6B98">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门诊发药拆零</w:t>
            </w:r>
          </w:p>
        </w:tc>
        <w:tc>
          <w:tcPr>
            <w:tcW w:w="5918" w:type="dxa"/>
            <w:noWrap w:val="0"/>
            <w:vAlign w:val="top"/>
          </w:tcPr>
          <w:p w14:paraId="6A835468">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★支持事先将需要拆零的药品追溯码录入到拆零库里面，在发药的时候，自动判断拆零药品，自动赋码</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提供系统截图）</w:t>
            </w:r>
          </w:p>
        </w:tc>
      </w:tr>
      <w:tr w14:paraId="6F5F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01EFA695">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1C3EF5EA">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5929712D">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住院发药采集</w:t>
            </w:r>
          </w:p>
        </w:tc>
        <w:tc>
          <w:tcPr>
            <w:tcW w:w="5918" w:type="dxa"/>
            <w:noWrap w:val="0"/>
            <w:vAlign w:val="top"/>
          </w:tcPr>
          <w:p w14:paraId="7D83F6C8">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医嘱发药，利用高拍仪批量快速采集追溯码</w:t>
            </w:r>
          </w:p>
        </w:tc>
      </w:tr>
      <w:tr w14:paraId="098E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0F82611C">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37CE0942">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69C22F1D">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住院发药拆零</w:t>
            </w:r>
          </w:p>
        </w:tc>
        <w:tc>
          <w:tcPr>
            <w:tcW w:w="5918" w:type="dxa"/>
            <w:noWrap w:val="0"/>
            <w:vAlign w:val="top"/>
          </w:tcPr>
          <w:p w14:paraId="4DC46F90">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★支持药库或者住院药房事先将需要拆零的药品追溯码录入到拆零库里面，在发药的时候，自动判断拆零药品，自动赋码</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提供系统截图）</w:t>
            </w:r>
          </w:p>
        </w:tc>
      </w:tr>
      <w:tr w14:paraId="3D63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5C15D6EA">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1B98C4CF">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565B30FA">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住院发药精确到患者</w:t>
            </w:r>
          </w:p>
        </w:tc>
        <w:tc>
          <w:tcPr>
            <w:tcW w:w="5918" w:type="dxa"/>
            <w:noWrap w:val="0"/>
            <w:vAlign w:val="top"/>
          </w:tcPr>
          <w:p w14:paraId="3BDE47B8">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支持于移动护理对接，在病区发药时将追溯码与具体患者绑定</w:t>
            </w:r>
          </w:p>
        </w:tc>
      </w:tr>
      <w:tr w14:paraId="5201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3FAC1D8B">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24270AF4">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160B2473">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退药</w:t>
            </w:r>
          </w:p>
        </w:tc>
        <w:tc>
          <w:tcPr>
            <w:tcW w:w="5918" w:type="dxa"/>
            <w:noWrap w:val="0"/>
            <w:vAlign w:val="center"/>
          </w:tcPr>
          <w:p w14:paraId="79CC5FDC">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药品退药，追溯码采集、存储、标记</w:t>
            </w:r>
          </w:p>
        </w:tc>
      </w:tr>
      <w:tr w14:paraId="05DB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6FDA81A1">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117FED29">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77E7B257">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退货</w:t>
            </w:r>
          </w:p>
        </w:tc>
        <w:tc>
          <w:tcPr>
            <w:tcW w:w="5918" w:type="dxa"/>
            <w:noWrap w:val="0"/>
            <w:vAlign w:val="center"/>
          </w:tcPr>
          <w:p w14:paraId="467FD14D">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药品退货，追溯码采集、存储、标记</w:t>
            </w:r>
          </w:p>
        </w:tc>
      </w:tr>
      <w:tr w14:paraId="3E25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restart"/>
            <w:noWrap w:val="0"/>
            <w:vAlign w:val="center"/>
          </w:tcPr>
          <w:p w14:paraId="541E07C8">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851" w:type="dxa"/>
            <w:vMerge w:val="restart"/>
            <w:noWrap w:val="0"/>
            <w:vAlign w:val="center"/>
          </w:tcPr>
          <w:p w14:paraId="20805E52">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追溯码管理中间服务</w:t>
            </w:r>
          </w:p>
        </w:tc>
        <w:tc>
          <w:tcPr>
            <w:tcW w:w="1768" w:type="dxa"/>
            <w:noWrap w:val="0"/>
            <w:vAlign w:val="center"/>
          </w:tcPr>
          <w:p w14:paraId="012F3E14">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追溯码传输中转</w:t>
            </w:r>
          </w:p>
        </w:tc>
        <w:tc>
          <w:tcPr>
            <w:tcW w:w="5918" w:type="dxa"/>
            <w:noWrap w:val="0"/>
            <w:vAlign w:val="center"/>
          </w:tcPr>
          <w:p w14:paraId="6136205B">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作为企业和配送企业传输追溯码的中转</w:t>
            </w:r>
          </w:p>
        </w:tc>
      </w:tr>
      <w:tr w14:paraId="42FE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530E18FD">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6072CC18">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21571604">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医院下载追溯码接口</w:t>
            </w:r>
          </w:p>
        </w:tc>
        <w:tc>
          <w:tcPr>
            <w:tcW w:w="5918" w:type="dxa"/>
            <w:noWrap w:val="0"/>
            <w:vAlign w:val="center"/>
          </w:tcPr>
          <w:p w14:paraId="4996AD11">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医院下载云平台配送企业上传的追溯码</w:t>
            </w:r>
          </w:p>
        </w:tc>
      </w:tr>
      <w:tr w14:paraId="0FD7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635995E1">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4F59BBE6">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73B103F6">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配送企业追溯码上传接口</w:t>
            </w:r>
          </w:p>
        </w:tc>
        <w:tc>
          <w:tcPr>
            <w:tcW w:w="5918" w:type="dxa"/>
            <w:noWrap w:val="0"/>
            <w:vAlign w:val="center"/>
          </w:tcPr>
          <w:p w14:paraId="275DABB3">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配送企业在出库时将追溯码上传</w:t>
            </w:r>
          </w:p>
        </w:tc>
      </w:tr>
      <w:tr w14:paraId="0AD3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0C80A25A">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0F8F933E">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550223B9">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发货管理</w:t>
            </w:r>
          </w:p>
        </w:tc>
        <w:tc>
          <w:tcPr>
            <w:tcW w:w="5918" w:type="dxa"/>
            <w:noWrap w:val="0"/>
            <w:vAlign w:val="center"/>
          </w:tcPr>
          <w:p w14:paraId="26609EFD">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配送企业登录前置服务系统，进行药品的装箱条码打印，并进行箱规贴码工作。</w:t>
            </w:r>
          </w:p>
        </w:tc>
      </w:tr>
      <w:tr w14:paraId="7A25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3" w:hRule="atLeast"/>
        </w:trPr>
        <w:tc>
          <w:tcPr>
            <w:tcW w:w="567" w:type="dxa"/>
            <w:noWrap w:val="0"/>
            <w:vAlign w:val="center"/>
          </w:tcPr>
          <w:p w14:paraId="03F65BBB">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851" w:type="dxa"/>
            <w:noWrap w:val="0"/>
            <w:vAlign w:val="center"/>
          </w:tcPr>
          <w:p w14:paraId="4651FCC8">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PDA扫码验收</w:t>
            </w:r>
          </w:p>
        </w:tc>
        <w:tc>
          <w:tcPr>
            <w:tcW w:w="1768" w:type="dxa"/>
            <w:noWrap w:val="0"/>
            <w:vAlign w:val="center"/>
          </w:tcPr>
          <w:p w14:paraId="097341C1">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PDA扫追溯码</w:t>
            </w:r>
          </w:p>
        </w:tc>
        <w:tc>
          <w:tcPr>
            <w:tcW w:w="5918" w:type="dxa"/>
            <w:noWrap w:val="0"/>
            <w:vAlign w:val="center"/>
          </w:tcPr>
          <w:p w14:paraId="6D0407A0">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支持通过PDA扫追溯码实现一键快速入库，兼容大码、中码自动解析为小码（三级追溯码自动转换）及小码直接入库。</w:t>
            </w:r>
          </w:p>
          <w:p w14:paraId="2B63FC18">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自动识别追溯码内容并与医保集采平台信息匹配，支持PC端与移动端多终端采集。</w:t>
            </w:r>
          </w:p>
        </w:tc>
      </w:tr>
      <w:tr w14:paraId="726C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noWrap w:val="0"/>
            <w:vAlign w:val="center"/>
          </w:tcPr>
          <w:p w14:paraId="34FB1421">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851" w:type="dxa"/>
            <w:noWrap w:val="0"/>
            <w:vAlign w:val="center"/>
          </w:tcPr>
          <w:p w14:paraId="3FB4687F">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耗材</w:t>
            </w:r>
          </w:p>
        </w:tc>
        <w:tc>
          <w:tcPr>
            <w:tcW w:w="1768" w:type="dxa"/>
            <w:noWrap w:val="0"/>
            <w:vAlign w:val="center"/>
          </w:tcPr>
          <w:p w14:paraId="5FE5C5C9">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追溯码上传</w:t>
            </w:r>
          </w:p>
        </w:tc>
        <w:tc>
          <w:tcPr>
            <w:tcW w:w="5918" w:type="dxa"/>
            <w:noWrap w:val="0"/>
            <w:vAlign w:val="center"/>
          </w:tcPr>
          <w:p w14:paraId="1E56DE0D">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sz w:val="24"/>
                <w:szCs w:val="24"/>
                <w:lang w:bidi="ar"/>
              </w:rPr>
              <w:t>★</w:t>
            </w:r>
            <w:r>
              <w:rPr>
                <w:rFonts w:hint="default" w:ascii="Times New Roman" w:hAnsi="Times New Roman" w:eastAsia="宋体" w:cs="Times New Roman"/>
                <w:sz w:val="24"/>
                <w:szCs w:val="24"/>
              </w:rPr>
              <w:t>支持耗材的UDI码作为追溯码，打通spd的入库和his的临床消耗数据</w:t>
            </w:r>
            <w:r>
              <w:rPr>
                <w:rFonts w:hint="default" w:ascii="Times New Roman" w:hAnsi="Times New Roman" w:eastAsia="宋体" w:cs="Times New Roman"/>
                <w:sz w:val="24"/>
                <w:szCs w:val="24"/>
                <w:highlight w:val="none"/>
              </w:rPr>
              <w:t>，上报医保入库和销售接口</w:t>
            </w:r>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lang w:val="en-US" w:eastAsia="zh-CN"/>
              </w:rPr>
              <w:t>提供系统上传界面截图</w:t>
            </w:r>
            <w:r>
              <w:rPr>
                <w:rFonts w:hint="default" w:ascii="Times New Roman" w:hAnsi="Times New Roman" w:eastAsia="宋体" w:cs="Times New Roman"/>
                <w:b/>
                <w:bCs/>
                <w:sz w:val="24"/>
                <w:szCs w:val="24"/>
                <w:highlight w:val="none"/>
                <w:lang w:eastAsia="zh-CN"/>
              </w:rPr>
              <w:t>）</w:t>
            </w:r>
          </w:p>
          <w:p w14:paraId="66E97916">
            <w:pPr>
              <w:pStyle w:val="8"/>
              <w:rPr>
                <w:rFonts w:hint="default" w:ascii="Times New Roman" w:hAnsi="Times New Roman" w:eastAsia="宋体" w:cs="Times New Roman"/>
                <w:b/>
                <w:bCs/>
                <w:sz w:val="24"/>
                <w:szCs w:val="24"/>
                <w:highlight w:val="none"/>
                <w:lang w:eastAsia="zh-CN"/>
              </w:rPr>
            </w:pPr>
          </w:p>
          <w:p w14:paraId="1796A897">
            <w:pPr>
              <w:pStyle w:val="9"/>
              <w:rPr>
                <w:rFonts w:hint="default" w:ascii="Times New Roman" w:hAnsi="Times New Roman" w:eastAsia="宋体" w:cs="Times New Roman"/>
                <w:b/>
                <w:bCs/>
                <w:sz w:val="24"/>
                <w:szCs w:val="24"/>
                <w:highlight w:val="none"/>
                <w:lang w:eastAsia="zh-CN"/>
              </w:rPr>
            </w:pPr>
          </w:p>
          <w:p w14:paraId="7D0D5C6A">
            <w:pPr>
              <w:pStyle w:val="10"/>
              <w:rPr>
                <w:rFonts w:hint="default" w:ascii="Times New Roman" w:hAnsi="Times New Roman" w:eastAsia="宋体" w:cs="Times New Roman"/>
                <w:b/>
                <w:bCs/>
                <w:sz w:val="24"/>
                <w:szCs w:val="24"/>
                <w:highlight w:val="none"/>
                <w:lang w:eastAsia="zh-CN"/>
              </w:rPr>
            </w:pPr>
          </w:p>
          <w:p w14:paraId="487A475B">
            <w:pPr>
              <w:rPr>
                <w:rFonts w:hint="default" w:ascii="Times New Roman" w:hAnsi="Times New Roman" w:eastAsia="宋体" w:cs="Times New Roman"/>
                <w:b/>
                <w:bCs/>
                <w:sz w:val="24"/>
                <w:szCs w:val="24"/>
                <w:highlight w:val="none"/>
                <w:lang w:eastAsia="zh-CN"/>
              </w:rPr>
            </w:pPr>
          </w:p>
          <w:p w14:paraId="1414494E">
            <w:pPr>
              <w:pStyle w:val="8"/>
              <w:rPr>
                <w:rFonts w:hint="default"/>
                <w:lang w:eastAsia="zh-CN"/>
              </w:rPr>
            </w:pPr>
          </w:p>
        </w:tc>
      </w:tr>
      <w:tr w14:paraId="1267DA5E">
        <w:tblPrEx>
          <w:tblCellMar>
            <w:top w:w="0" w:type="dxa"/>
            <w:left w:w="108" w:type="dxa"/>
            <w:bottom w:w="0" w:type="dxa"/>
            <w:right w:w="108" w:type="dxa"/>
          </w:tblCellMar>
        </w:tblPrEx>
        <w:trPr>
          <w:cantSplit/>
          <w:trHeight w:val="288" w:hRule="atLeast"/>
        </w:trPr>
        <w:tc>
          <w:tcPr>
            <w:tcW w:w="567" w:type="dxa"/>
            <w:noWrap w:val="0"/>
            <w:vAlign w:val="center"/>
          </w:tcPr>
          <w:p w14:paraId="2817075F">
            <w:pPr>
              <w:keepNext w:val="0"/>
              <w:keepLines w:val="0"/>
              <w:pageBreakBefore w:val="0"/>
              <w:kinsoku/>
              <w:wordWrap/>
              <w:overflowPunct/>
              <w:topLinePunct w:val="0"/>
              <w:autoSpaceDE/>
              <w:autoSpaceDN/>
              <w:bidi w:val="0"/>
              <w:spacing w:line="360" w:lineRule="auto"/>
              <w:jc w:val="center"/>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w:t>
            </w:r>
          </w:p>
        </w:tc>
        <w:tc>
          <w:tcPr>
            <w:tcW w:w="851" w:type="dxa"/>
            <w:noWrap w:val="0"/>
            <w:vAlign w:val="center"/>
          </w:tcPr>
          <w:p w14:paraId="083DAEB2">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中药饮片</w:t>
            </w:r>
          </w:p>
        </w:tc>
        <w:tc>
          <w:tcPr>
            <w:tcW w:w="1768" w:type="dxa"/>
            <w:noWrap w:val="0"/>
            <w:vAlign w:val="center"/>
          </w:tcPr>
          <w:p w14:paraId="4F794F79">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追溯码上传</w:t>
            </w:r>
          </w:p>
        </w:tc>
        <w:tc>
          <w:tcPr>
            <w:tcW w:w="5918" w:type="dxa"/>
            <w:noWrap w:val="0"/>
            <w:vAlign w:val="center"/>
          </w:tcPr>
          <w:p w14:paraId="73EACFA3">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★支持安徽省中药饮片信息化追溯平台中药饮品追溯码，打通中药饮片接口平台，获取中药饮片收货追溯码数据进行收货入库，追溯码退货。</w:t>
            </w:r>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lang w:val="en-US" w:eastAsia="zh-CN"/>
              </w:rPr>
              <w:t>提供系统上传界面截图</w:t>
            </w:r>
            <w:r>
              <w:rPr>
                <w:rFonts w:hint="default" w:ascii="Times New Roman" w:hAnsi="Times New Roman" w:eastAsia="宋体" w:cs="Times New Roman"/>
                <w:b/>
                <w:bCs/>
                <w:sz w:val="24"/>
                <w:szCs w:val="24"/>
                <w:highlight w:val="none"/>
                <w:lang w:eastAsia="zh-CN"/>
              </w:rPr>
              <w:t>）</w:t>
            </w:r>
          </w:p>
        </w:tc>
      </w:tr>
      <w:tr w14:paraId="6D08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restart"/>
            <w:noWrap w:val="0"/>
            <w:vAlign w:val="center"/>
          </w:tcPr>
          <w:p w14:paraId="3363832C">
            <w:pPr>
              <w:keepNext w:val="0"/>
              <w:keepLines w:val="0"/>
              <w:pageBreakBefore w:val="0"/>
              <w:kinsoku/>
              <w:wordWrap/>
              <w:overflowPunct/>
              <w:topLinePunct w:val="0"/>
              <w:autoSpaceDE/>
              <w:autoSpaceDN/>
              <w:bidi w:val="0"/>
              <w:spacing w:line="360" w:lineRule="auto"/>
              <w:jc w:val="center"/>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8</w:t>
            </w:r>
          </w:p>
        </w:tc>
        <w:tc>
          <w:tcPr>
            <w:tcW w:w="851" w:type="dxa"/>
            <w:vMerge w:val="restart"/>
            <w:noWrap w:val="0"/>
            <w:vAlign w:val="center"/>
          </w:tcPr>
          <w:p w14:paraId="3C793E41">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权限管理</w:t>
            </w:r>
          </w:p>
        </w:tc>
        <w:tc>
          <w:tcPr>
            <w:tcW w:w="1768" w:type="dxa"/>
            <w:noWrap w:val="0"/>
            <w:vAlign w:val="center"/>
          </w:tcPr>
          <w:p w14:paraId="5402260F">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机构管理</w:t>
            </w:r>
          </w:p>
        </w:tc>
        <w:tc>
          <w:tcPr>
            <w:tcW w:w="5918" w:type="dxa"/>
            <w:noWrap w:val="0"/>
            <w:vAlign w:val="center"/>
          </w:tcPr>
          <w:p w14:paraId="0758B921">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支持创建、修改、删除人员，以及对人员角色的创建、修改、删除，以实现对用户的身份、角色、权限等信息的管理和控制。</w:t>
            </w:r>
          </w:p>
        </w:tc>
      </w:tr>
      <w:tr w14:paraId="2518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08E7C5FD">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1CEE3369">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50A750A3">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人员管理</w:t>
            </w:r>
          </w:p>
        </w:tc>
        <w:tc>
          <w:tcPr>
            <w:tcW w:w="5918" w:type="dxa"/>
            <w:noWrap w:val="0"/>
            <w:vAlign w:val="center"/>
          </w:tcPr>
          <w:p w14:paraId="13089E58">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支持创建、修改、删除人员，以及对人员角色的创建、修改、删除，以实现对用户的身份、角色、权限等信息的管理和控制。</w:t>
            </w:r>
          </w:p>
        </w:tc>
      </w:tr>
      <w:tr w14:paraId="21A5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5A6EC298">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4E386E0C">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58A8D14B">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角色管理</w:t>
            </w:r>
          </w:p>
        </w:tc>
        <w:tc>
          <w:tcPr>
            <w:tcW w:w="5918" w:type="dxa"/>
            <w:noWrap w:val="0"/>
            <w:vAlign w:val="center"/>
          </w:tcPr>
          <w:p w14:paraId="2510E136">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支持创建、修改、删除人员，以及对人员角色的创建、修改、删除，以实现对用户的身份、角色、权限等信息的管理和控制。</w:t>
            </w:r>
          </w:p>
        </w:tc>
      </w:tr>
      <w:tr w14:paraId="6837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4358712C">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6F3C18A1">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211DBD1A">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权限管理</w:t>
            </w:r>
          </w:p>
        </w:tc>
        <w:tc>
          <w:tcPr>
            <w:tcW w:w="5918" w:type="dxa"/>
            <w:noWrap w:val="0"/>
            <w:vAlign w:val="center"/>
          </w:tcPr>
          <w:p w14:paraId="726237B7">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支持创建、修改、删除人员，以及对人员角色的创建、修改、删除，以实现对用户的身份、角色、权限等信息的管理和控制。</w:t>
            </w:r>
          </w:p>
        </w:tc>
      </w:tr>
      <w:tr w14:paraId="28C7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restart"/>
            <w:noWrap w:val="0"/>
            <w:vAlign w:val="center"/>
          </w:tcPr>
          <w:p w14:paraId="174FD4E9">
            <w:pPr>
              <w:keepNext w:val="0"/>
              <w:keepLines w:val="0"/>
              <w:pageBreakBefore w:val="0"/>
              <w:kinsoku/>
              <w:wordWrap/>
              <w:overflowPunct/>
              <w:topLinePunct w:val="0"/>
              <w:autoSpaceDE/>
              <w:autoSpaceDN/>
              <w:bidi w:val="0"/>
              <w:spacing w:line="360" w:lineRule="auto"/>
              <w:jc w:val="center"/>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9</w:t>
            </w:r>
          </w:p>
        </w:tc>
        <w:tc>
          <w:tcPr>
            <w:tcW w:w="851" w:type="dxa"/>
            <w:vMerge w:val="restart"/>
            <w:noWrap w:val="0"/>
            <w:vAlign w:val="center"/>
          </w:tcPr>
          <w:p w14:paraId="38F9504C">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综合管理</w:t>
            </w:r>
          </w:p>
        </w:tc>
        <w:tc>
          <w:tcPr>
            <w:tcW w:w="1768" w:type="dxa"/>
            <w:noWrap w:val="0"/>
            <w:vAlign w:val="center"/>
          </w:tcPr>
          <w:p w14:paraId="6148B2C3">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采集设备监控</w:t>
            </w:r>
          </w:p>
        </w:tc>
        <w:tc>
          <w:tcPr>
            <w:tcW w:w="5918" w:type="dxa"/>
            <w:noWrap w:val="0"/>
            <w:vAlign w:val="top"/>
          </w:tcPr>
          <w:p w14:paraId="7E1ABDB9">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对追溯码采集设备的运行状态、内存、硬盘、网络连接情况持续监控，确保采集系统正常运行。</w:t>
            </w:r>
          </w:p>
        </w:tc>
      </w:tr>
      <w:tr w14:paraId="7DB2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25F8C0D9">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71F9CE4F">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1893E3E2">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统计报表</w:t>
            </w:r>
          </w:p>
        </w:tc>
        <w:tc>
          <w:tcPr>
            <w:tcW w:w="5918" w:type="dxa"/>
            <w:noWrap w:val="0"/>
            <w:vAlign w:val="top"/>
          </w:tcPr>
          <w:p w14:paraId="1A228EA1">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根据追溯码的上传情况按窗口、院区做统计报表</w:t>
            </w:r>
          </w:p>
        </w:tc>
      </w:tr>
      <w:tr w14:paraId="2E6D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2DE7DB20">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24E9A5EE">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486EA35D">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日志查看</w:t>
            </w:r>
          </w:p>
        </w:tc>
        <w:tc>
          <w:tcPr>
            <w:tcW w:w="5918" w:type="dxa"/>
            <w:noWrap w:val="0"/>
            <w:vAlign w:val="top"/>
          </w:tcPr>
          <w:p w14:paraId="2F6C4EB1">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通过日志查看功能可以实现追溯码是否上传成功情况。</w:t>
            </w:r>
          </w:p>
        </w:tc>
      </w:tr>
      <w:tr w14:paraId="2E66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67" w:type="dxa"/>
            <w:vMerge w:val="continue"/>
            <w:noWrap w:val="0"/>
            <w:vAlign w:val="center"/>
          </w:tcPr>
          <w:p w14:paraId="6B0E1BCF">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851" w:type="dxa"/>
            <w:vMerge w:val="continue"/>
            <w:noWrap w:val="0"/>
            <w:vAlign w:val="center"/>
          </w:tcPr>
          <w:p w14:paraId="4B1B6DF3">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p>
        </w:tc>
        <w:tc>
          <w:tcPr>
            <w:tcW w:w="1768" w:type="dxa"/>
            <w:noWrap w:val="0"/>
            <w:vAlign w:val="center"/>
          </w:tcPr>
          <w:p w14:paraId="2A66A409">
            <w:pPr>
              <w:keepNext w:val="0"/>
              <w:keepLines w:val="0"/>
              <w:pageBreakBefore w:val="0"/>
              <w:kinsoku/>
              <w:wordWrap/>
              <w:overflowPunct/>
              <w:topLinePunct w:val="0"/>
              <w:autoSpaceDE/>
              <w:autoSpaceDN/>
              <w:bidi w:val="0"/>
              <w:spacing w:line="360" w:lineRule="auto"/>
              <w:jc w:val="center"/>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漏传补报</w:t>
            </w:r>
          </w:p>
        </w:tc>
        <w:tc>
          <w:tcPr>
            <w:tcW w:w="5918" w:type="dxa"/>
            <w:noWrap w:val="0"/>
            <w:vAlign w:val="top"/>
          </w:tcPr>
          <w:p w14:paraId="4ACD9731">
            <w:pPr>
              <w:keepNext w:val="0"/>
              <w:keepLines w:val="0"/>
              <w:pageBreakBefore w:val="0"/>
              <w:kinsoku/>
              <w:wordWrap/>
              <w:overflowPunct/>
              <w:topLinePunct w:val="0"/>
              <w:autoSpaceDE/>
              <w:autoSpaceDN/>
              <w:bidi w:val="0"/>
              <w:spacing w:line="360" w:lineRule="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rPr>
              <w:t>对因网络原因或部分数据缺失无法成功上传的药品，实现漏传补报，应采尽采</w:t>
            </w:r>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lang w:val="en-US" w:eastAsia="zh-CN"/>
              </w:rPr>
              <w:t>提供系统补录界面截图</w:t>
            </w:r>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sz w:val="24"/>
                <w:szCs w:val="24"/>
                <w:highlight w:val="none"/>
              </w:rPr>
              <w:t>。</w:t>
            </w:r>
          </w:p>
        </w:tc>
      </w:tr>
    </w:tbl>
    <w:p w14:paraId="11ACC299">
      <w:pPr>
        <w:keepNext w:val="0"/>
        <w:keepLines w:val="0"/>
        <w:pageBreakBefore w:val="0"/>
        <w:tabs>
          <w:tab w:val="left" w:pos="426"/>
        </w:tabs>
        <w:kinsoku/>
        <w:wordWrap/>
        <w:overflowPunct/>
        <w:topLinePunct w:val="0"/>
        <w:autoSpaceDE/>
        <w:autoSpaceDN/>
        <w:bidi w:val="0"/>
        <w:snapToGrid w:val="0"/>
        <w:spacing w:line="360" w:lineRule="auto"/>
        <w:outlineLvl w:val="9"/>
        <w:rPr>
          <w:rFonts w:hint="default" w:ascii="Times New Roman" w:hAnsi="Times New Roman" w:eastAsia="宋体" w:cs="Times New Roman"/>
          <w:sz w:val="24"/>
          <w:szCs w:val="24"/>
          <w:highlight w:val="none"/>
        </w:rPr>
      </w:pPr>
    </w:p>
    <w:p w14:paraId="6B3A358A">
      <w:pPr>
        <w:keepNext w:val="0"/>
        <w:keepLines w:val="0"/>
        <w:pageBreakBefore w:val="0"/>
        <w:numPr>
          <w:ilvl w:val="0"/>
          <w:numId w:val="3"/>
        </w:numPr>
        <w:kinsoku/>
        <w:wordWrap/>
        <w:overflowPunct/>
        <w:topLinePunct w:val="0"/>
        <w:autoSpaceDE/>
        <w:autoSpaceDN/>
        <w:bidi w:val="0"/>
        <w:snapToGrid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接口开发联调需求</w:t>
      </w:r>
    </w:p>
    <w:p w14:paraId="08B80931">
      <w:pPr>
        <w:keepNext w:val="0"/>
        <w:keepLines w:val="0"/>
        <w:pageBreakBefore w:val="0"/>
        <w:numPr>
          <w:ilvl w:val="0"/>
          <w:numId w:val="4"/>
        </w:numPr>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基础数据：获取HIS系统的人员、取药人员窗口号、部门及药品档案基础信息。</w:t>
      </w:r>
      <w:r>
        <w:rPr>
          <w:rFonts w:hint="eastAsia" w:ascii="Times New Roman" w:hAnsi="Times New Roman" w:eastAsia="宋体" w:cs="Times New Roman"/>
          <w:sz w:val="24"/>
          <w:szCs w:val="24"/>
          <w:lang w:val="en-US" w:eastAsia="zh-CN"/>
        </w:rPr>
        <w:t>对采购药品</w:t>
      </w:r>
      <w:r>
        <w:rPr>
          <w:rFonts w:hint="default" w:ascii="Times New Roman" w:hAnsi="Times New Roman" w:eastAsia="宋体" w:cs="Times New Roman"/>
          <w:sz w:val="24"/>
          <w:szCs w:val="24"/>
        </w:rPr>
        <w:t>自动分类（集采、非集采等需要人工区分属性）</w:t>
      </w:r>
      <w:r>
        <w:rPr>
          <w:rFonts w:hint="eastAsia" w:ascii="Times New Roman" w:hAnsi="Times New Roman" w:eastAsia="宋体" w:cs="Times New Roman"/>
          <w:sz w:val="24"/>
          <w:szCs w:val="24"/>
          <w:lang w:eastAsia="zh-CN"/>
        </w:rPr>
        <w:t>。</w:t>
      </w:r>
    </w:p>
    <w:p w14:paraId="534539FC">
      <w:pPr>
        <w:keepNext w:val="0"/>
        <w:keepLines w:val="0"/>
        <w:pageBreakBefore w:val="0"/>
        <w:numPr>
          <w:ilvl w:val="0"/>
          <w:numId w:val="0"/>
        </w:numPr>
        <w:kinsoku/>
        <w:wordWrap/>
        <w:overflowPunct/>
        <w:topLinePunct w:val="0"/>
        <w:autoSpaceDE/>
        <w:autoSpaceDN/>
        <w:bidi w:val="0"/>
        <w:spacing w:line="360" w:lineRule="auto"/>
        <w:ind w:firstLine="480" w:firstLineChars="200"/>
        <w:jc w:val="left"/>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2、药品入库：追溯系统将药品信息、追溯码信息推送给HIS系统，不需要医院手工录入库单，完成药品自动入库。自动分类（集采、非集采等需要人工区分属性）实现药品采购的发票自动通过税务的验真、验重能力</w:t>
      </w:r>
      <w:r>
        <w:rPr>
          <w:rFonts w:hint="eastAsia" w:ascii="Times New Roman" w:hAnsi="Times New Roman" w:eastAsia="宋体" w:cs="Times New Roman"/>
          <w:sz w:val="24"/>
          <w:szCs w:val="24"/>
          <w:lang w:eastAsia="zh-CN"/>
        </w:rPr>
        <w:t>。</w:t>
      </w:r>
    </w:p>
    <w:p w14:paraId="4BB9B1CE">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药品发药：门诊药房发药时将患者处方信息推送给追溯系统，追溯系统将发药追溯码回写给HIS系统。可通过扫码自动核对处方和药品信息，如有不符、少发、多发、错发失效期、近效期药品等现象，系统有提醒功能。</w:t>
      </w:r>
    </w:p>
    <w:p w14:paraId="6383400F">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药品退货：支持患者退药、药库退药。药库退货时将退货药品信息推送给追溯系统，追溯系统将退货追溯码回写给HIS系统。支持处方内部分药品或全部药品退药，并可识别是否为本处方所发的药品，如果不是系统自动提醒。药库退药可识别是否为本院曾入库药品，如果不是系统自动提醒。</w:t>
      </w:r>
    </w:p>
    <w:p w14:paraId="7968C390">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5、支持药品的效期管理，如有近效期有提醒功能。</w:t>
      </w:r>
    </w:p>
    <w:p w14:paraId="411788BC">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6、追溯系统与码上放心平台数据对接：获取追溯码信息。</w:t>
      </w:r>
    </w:p>
    <w:p w14:paraId="45AE8390">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7、医保追溯码上传：自动将药品对应的追溯码信息上传至医保平台。</w:t>
      </w:r>
    </w:p>
    <w:p w14:paraId="21765770">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8、支持后续与财务相关的带量品种结算和非带量品种的结算。</w:t>
      </w:r>
    </w:p>
    <w:p w14:paraId="5EECEF64">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9</w:t>
      </w:r>
      <w:r>
        <w:rPr>
          <w:rFonts w:hint="eastAsia" w:ascii="Times New Roman" w:hAnsi="Times New Roman" w:eastAsia="宋体" w:cs="Times New Roman"/>
          <w:color w:val="000000"/>
          <w:sz w:val="24"/>
          <w:szCs w:val="24"/>
          <w:lang w:val="en-US" w:eastAsia="zh-CN"/>
        </w:rPr>
        <w:t>、中标人</w:t>
      </w:r>
      <w:r>
        <w:rPr>
          <w:rFonts w:hint="default" w:ascii="Times New Roman" w:hAnsi="Times New Roman" w:eastAsia="宋体" w:cs="Times New Roman"/>
          <w:color w:val="000000"/>
          <w:sz w:val="24"/>
          <w:szCs w:val="24"/>
          <w:lang w:val="en-US" w:eastAsia="zh-CN"/>
        </w:rPr>
        <w:t>应保证满足上级主管医保部门的文件要求，并确保在文件的期限内进行相应的系统维护，如不能在其规定的期限内完成，给医院造成损失的，需承担相应的法律责任。</w:t>
      </w:r>
    </w:p>
    <w:p w14:paraId="343B6E5E">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10</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除无码药品及不可抗力原因，具备百分之一百药品追溯码采集及上传功能。</w:t>
      </w:r>
    </w:p>
    <w:p w14:paraId="57CE7FF9">
      <w:pPr>
        <w:keepNext w:val="0"/>
        <w:keepLines w:val="0"/>
        <w:pageBreakBefore w:val="0"/>
        <w:numPr>
          <w:ilvl w:val="0"/>
          <w:numId w:val="3"/>
        </w:numPr>
        <w:kinsoku/>
        <w:wordWrap/>
        <w:overflowPunct/>
        <w:topLinePunct w:val="0"/>
        <w:autoSpaceDE/>
        <w:autoSpaceDN/>
        <w:bidi w:val="0"/>
        <w:snapToGrid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系统性能需求</w:t>
      </w:r>
    </w:p>
    <w:p w14:paraId="0E43329D">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1、识别时间：单次识别时间≤0.3s</w:t>
      </w:r>
    </w:p>
    <w:p w14:paraId="7E0E195C">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2、识别数量：单次扫描最多可识别药盒数≥40盒。</w:t>
      </w:r>
    </w:p>
    <w:p w14:paraId="774E10F3">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3、药品错误提示：软件弹框对错误、多拿、少拿药品进行提示。</w:t>
      </w:r>
    </w:p>
    <w:p w14:paraId="1D487684">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、可支持在摆药阶段进行药品追溯码扫描。</w:t>
      </w:r>
    </w:p>
    <w:p w14:paraId="1C0532AF">
      <w:pPr>
        <w:keepNext w:val="0"/>
        <w:keepLines w:val="0"/>
        <w:pageBreakBefore w:val="0"/>
        <w:numPr>
          <w:ilvl w:val="0"/>
          <w:numId w:val="3"/>
        </w:numPr>
        <w:kinsoku/>
        <w:wordWrap/>
        <w:overflowPunct/>
        <w:topLinePunct w:val="0"/>
        <w:autoSpaceDE/>
        <w:autoSpaceDN/>
        <w:bidi w:val="0"/>
        <w:snapToGrid w:val="0"/>
        <w:spacing w:line="360" w:lineRule="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扩展模块</w:t>
      </w:r>
    </w:p>
    <w:p w14:paraId="73F17B15">
      <w:pPr>
        <w:keepNext w:val="0"/>
        <w:keepLines w:val="0"/>
        <w:pageBreakBefore w:val="0"/>
        <w:kinsoku/>
        <w:wordWrap/>
        <w:overflowPunct/>
        <w:topLinePunct w:val="0"/>
        <w:autoSpaceDE/>
        <w:autoSpaceDN/>
        <w:bidi w:val="0"/>
        <w:snapToGrid w:val="0"/>
        <w:spacing w:line="360" w:lineRule="auto"/>
        <w:ind w:firstLine="480" w:firstLineChars="200"/>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1、住院单剂量包药机支持加药时将追溯码储存拆零库里，发药时自动赋码。</w:t>
      </w:r>
    </w:p>
    <w:p w14:paraId="34344D22">
      <w:pPr>
        <w:keepNext w:val="0"/>
        <w:keepLines w:val="0"/>
        <w:pageBreakBefore w:val="0"/>
        <w:kinsoku/>
        <w:wordWrap/>
        <w:overflowPunct/>
        <w:topLinePunct w:val="0"/>
        <w:autoSpaceDE/>
        <w:autoSpaceDN/>
        <w:bidi w:val="0"/>
        <w:spacing w:line="360" w:lineRule="auto"/>
        <w:ind w:firstLine="480" w:firstLineChars="200"/>
        <w:jc w:val="left"/>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、扩展升级：基于医保及药监部门不断提高的要求，当上级部门对接要求发生变更时（如：接收平台更换、接收代码变更等），需进行软件免费升级和接口改造。</w:t>
      </w:r>
    </w:p>
    <w:p w14:paraId="4447CB74">
      <w:pPr>
        <w:keepNext w:val="0"/>
        <w:keepLines w:val="0"/>
        <w:pageBreakBefore w:val="0"/>
        <w:numPr>
          <w:ilvl w:val="0"/>
          <w:numId w:val="0"/>
        </w:numPr>
        <w:tabs>
          <w:tab w:val="left" w:pos="426"/>
        </w:tabs>
        <w:kinsoku/>
        <w:wordWrap/>
        <w:overflowPunct/>
        <w:topLinePunct w:val="0"/>
        <w:autoSpaceDE/>
        <w:autoSpaceDN/>
        <w:bidi w:val="0"/>
        <w:snapToGrid w:val="0"/>
        <w:spacing w:line="360" w:lineRule="auto"/>
        <w:outlineLvl w:val="9"/>
        <w:rPr>
          <w:rFonts w:hint="default"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二</w:t>
      </w:r>
      <w:r>
        <w:rPr>
          <w:rFonts w:hint="default" w:ascii="Times New Roman" w:hAnsi="Times New Roman" w:cs="Times New Roman"/>
          <w:b/>
          <w:bCs/>
          <w:sz w:val="32"/>
          <w:szCs w:val="32"/>
          <w:highlight w:val="none"/>
          <w:lang w:val="en-US" w:eastAsia="zh-CN"/>
        </w:rPr>
        <w:t>、项目管理要求</w:t>
      </w:r>
    </w:p>
    <w:p w14:paraId="365B48BA">
      <w:pPr>
        <w:keepNext w:val="0"/>
        <w:keepLines w:val="0"/>
        <w:pageBreakBefore w:val="0"/>
        <w:numPr>
          <w:ilvl w:val="0"/>
          <w:numId w:val="5"/>
        </w:numPr>
        <w:kinsoku/>
        <w:wordWrap/>
        <w:overflowPunct/>
        <w:topLinePunct w:val="0"/>
        <w:autoSpaceDE/>
        <w:autoSpaceDN/>
        <w:bidi w:val="0"/>
        <w:snapToGrid w:val="0"/>
        <w:spacing w:line="360" w:lineRule="auto"/>
        <w:ind w:left="426" w:firstLine="0"/>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项目实施进度要求</w:t>
      </w:r>
    </w:p>
    <w:p w14:paraId="690E4825">
      <w:pPr>
        <w:keepNext w:val="0"/>
        <w:keepLines w:val="0"/>
        <w:pageBreakBefore w:val="0"/>
        <w:kinsoku/>
        <w:wordWrap/>
        <w:overflowPunct/>
        <w:topLinePunct w:val="0"/>
        <w:autoSpaceDE/>
        <w:autoSpaceDN/>
        <w:bidi w:val="0"/>
        <w:spacing w:line="360" w:lineRule="auto"/>
        <w:ind w:firstLine="480" w:firstLineChars="200"/>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项目建设周期预计为</w:t>
      </w:r>
      <w:r>
        <w:rPr>
          <w:rFonts w:hint="eastAsia" w:ascii="Times New Roman" w:hAnsi="Times New Roman" w:eastAsia="宋体" w:cs="Times New Roman"/>
          <w:color w:val="000000"/>
          <w:sz w:val="24"/>
          <w:szCs w:val="24"/>
          <w:lang w:val="en-US" w:eastAsia="zh-CN"/>
        </w:rPr>
        <w:t>15</w:t>
      </w:r>
      <w:r>
        <w:rPr>
          <w:rFonts w:hint="default" w:ascii="Times New Roman" w:hAnsi="Times New Roman" w:eastAsia="宋体" w:cs="Times New Roman"/>
          <w:color w:val="000000"/>
          <w:sz w:val="24"/>
          <w:szCs w:val="24"/>
        </w:rPr>
        <w:t>个日历天。</w:t>
      </w:r>
    </w:p>
    <w:p w14:paraId="2D64CB33">
      <w:pPr>
        <w:keepNext w:val="0"/>
        <w:keepLines w:val="0"/>
        <w:pageBreakBefore w:val="0"/>
        <w:numPr>
          <w:ilvl w:val="0"/>
          <w:numId w:val="5"/>
        </w:numPr>
        <w:kinsoku/>
        <w:wordWrap/>
        <w:overflowPunct/>
        <w:topLinePunct w:val="0"/>
        <w:autoSpaceDE/>
        <w:autoSpaceDN/>
        <w:bidi w:val="0"/>
        <w:snapToGrid w:val="0"/>
        <w:spacing w:line="360" w:lineRule="auto"/>
        <w:ind w:left="426" w:firstLine="0"/>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项目工作小组</w:t>
      </w:r>
    </w:p>
    <w:p w14:paraId="5C55BFF5">
      <w:pPr>
        <w:keepNext w:val="0"/>
        <w:keepLines w:val="0"/>
        <w:pageBreakBefore w:val="0"/>
        <w:kinsoku/>
        <w:wordWrap/>
        <w:overflowPunct/>
        <w:topLinePunct w:val="0"/>
        <w:autoSpaceDE/>
        <w:autoSpaceDN/>
        <w:bidi w:val="0"/>
        <w:adjustRightInd w:val="0"/>
        <w:spacing w:line="360" w:lineRule="auto"/>
        <w:ind w:firstLine="480" w:firstLineChars="200"/>
        <w:textAlignment w:val="baseline"/>
        <w:outlineLvl w:val="9"/>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中标人</w:t>
      </w:r>
      <w:r>
        <w:rPr>
          <w:rFonts w:hint="default" w:ascii="Times New Roman" w:hAnsi="Times New Roman" w:eastAsia="宋体" w:cs="Times New Roman"/>
          <w:color w:val="000000"/>
          <w:sz w:val="24"/>
          <w:szCs w:val="24"/>
        </w:rPr>
        <w:t>需要成立针对本项目工作组，并提供成员简历，包括：</w:t>
      </w:r>
    </w:p>
    <w:p w14:paraId="3FC3E9CE">
      <w:pPr>
        <w:keepNext w:val="0"/>
        <w:keepLines w:val="0"/>
        <w:pageBreakBefore w:val="0"/>
        <w:kinsoku/>
        <w:wordWrap/>
        <w:overflowPunct/>
        <w:topLinePunct w:val="0"/>
        <w:autoSpaceDE/>
        <w:autoSpaceDN/>
        <w:bidi w:val="0"/>
        <w:adjustRightInd w:val="0"/>
        <w:spacing w:line="360" w:lineRule="auto"/>
        <w:ind w:firstLine="480" w:firstLineChars="200"/>
        <w:textAlignment w:val="baseline"/>
        <w:outlineLvl w:val="9"/>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sz w:val="24"/>
          <w:szCs w:val="24"/>
        </w:rPr>
        <w:t>项目经理：具有项目管理工作经历，并全权代表</w:t>
      </w:r>
      <w:r>
        <w:rPr>
          <w:rFonts w:hint="default"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rPr>
        <w:t>执行各项技术及管理工作；</w:t>
      </w:r>
    </w:p>
    <w:p w14:paraId="28035197">
      <w:pPr>
        <w:keepNext w:val="0"/>
        <w:keepLines w:val="0"/>
        <w:pageBreakBefore w:val="0"/>
        <w:kinsoku/>
        <w:wordWrap/>
        <w:overflowPunct/>
        <w:topLinePunct w:val="0"/>
        <w:autoSpaceDE/>
        <w:autoSpaceDN/>
        <w:bidi w:val="0"/>
        <w:adjustRightInd w:val="0"/>
        <w:spacing w:line="360" w:lineRule="auto"/>
        <w:ind w:firstLine="480" w:firstLineChars="200"/>
        <w:textAlignment w:val="baseline"/>
        <w:outlineLvl w:val="9"/>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项目实施人员：项目签约后，</w:t>
      </w:r>
      <w:r>
        <w:rPr>
          <w:rFonts w:hint="default"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rPr>
        <w:t>保证须提供常驻项目实施人员在医院现场工作，直至项目实施、验收结束。</w:t>
      </w:r>
    </w:p>
    <w:p w14:paraId="51F59686">
      <w:pPr>
        <w:keepNext w:val="0"/>
        <w:keepLines w:val="0"/>
        <w:pageBreakBefore w:val="0"/>
        <w:kinsoku/>
        <w:wordWrap/>
        <w:overflowPunct/>
        <w:topLinePunct w:val="0"/>
        <w:autoSpaceDE/>
        <w:autoSpaceDN/>
        <w:bidi w:val="0"/>
        <w:adjustRightInd w:val="0"/>
        <w:spacing w:line="360" w:lineRule="auto"/>
        <w:ind w:firstLine="480" w:firstLineChars="200"/>
        <w:textAlignment w:val="baseline"/>
        <w:outlineLvl w:val="9"/>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rPr>
        <w:t>项目管理与上线支持人员：系统上线期间，</w:t>
      </w:r>
      <w:r>
        <w:rPr>
          <w:rFonts w:hint="default"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rPr>
        <w:t>保证须提供项目管理与上线支持人员。</w:t>
      </w:r>
    </w:p>
    <w:p w14:paraId="6FD8E528">
      <w:pPr>
        <w:keepNext w:val="0"/>
        <w:keepLines w:val="0"/>
        <w:pageBreakBefore w:val="0"/>
        <w:kinsoku/>
        <w:wordWrap/>
        <w:overflowPunct/>
        <w:topLinePunct w:val="0"/>
        <w:autoSpaceDE/>
        <w:autoSpaceDN/>
        <w:bidi w:val="0"/>
        <w:adjustRightInd w:val="0"/>
        <w:spacing w:line="360" w:lineRule="auto"/>
        <w:ind w:firstLine="480" w:firstLineChars="200"/>
        <w:textAlignment w:val="baseline"/>
        <w:outlineLvl w:val="9"/>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rPr>
        <w:t>系统运维人员：为保证平台的正常运行，系统上线后，</w:t>
      </w:r>
      <w:r>
        <w:rPr>
          <w:rFonts w:hint="default"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rPr>
        <w:t>需指定专业人员对接医院技术问题，要求该人员具备分析、处理故障的能力。该人员需长期对本项目负责，如发生人员更换，需提前通知院方。</w:t>
      </w:r>
    </w:p>
    <w:p w14:paraId="2F68B9DE">
      <w:pPr>
        <w:keepNext w:val="0"/>
        <w:keepLines w:val="0"/>
        <w:pageBreakBefore w:val="0"/>
        <w:numPr>
          <w:ilvl w:val="0"/>
          <w:numId w:val="5"/>
        </w:numPr>
        <w:kinsoku/>
        <w:wordWrap/>
        <w:overflowPunct/>
        <w:topLinePunct w:val="0"/>
        <w:autoSpaceDE/>
        <w:autoSpaceDN/>
        <w:bidi w:val="0"/>
        <w:snapToGrid w:val="0"/>
        <w:spacing w:line="360" w:lineRule="auto"/>
        <w:ind w:left="426" w:firstLine="0"/>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文档资料管理</w:t>
      </w:r>
    </w:p>
    <w:p w14:paraId="3539E139">
      <w:pPr>
        <w:keepNext w:val="0"/>
        <w:keepLines w:val="0"/>
        <w:pageBreakBefore w:val="0"/>
        <w:kinsoku/>
        <w:wordWrap/>
        <w:overflowPunct/>
        <w:topLinePunct w:val="0"/>
        <w:autoSpaceDE/>
        <w:autoSpaceDN/>
        <w:bidi w:val="0"/>
        <w:adjustRightInd w:val="0"/>
        <w:spacing w:line="360" w:lineRule="auto"/>
        <w:ind w:left="210" w:leftChars="100" w:firstLine="480" w:firstLineChars="200"/>
        <w:textAlignment w:val="baseline"/>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文档是保证项目实施连贯性的重要保证，</w:t>
      </w:r>
      <w:r>
        <w:rPr>
          <w:rFonts w:hint="default" w:ascii="Times New Roman" w:hAnsi="Times New Roman" w:eastAsia="宋体" w:cs="Times New Roman"/>
          <w:color w:val="000000"/>
          <w:sz w:val="24"/>
          <w:szCs w:val="24"/>
          <w:lang w:eastAsia="zh-CN"/>
        </w:rPr>
        <w:t>供应商</w:t>
      </w:r>
      <w:r>
        <w:rPr>
          <w:rFonts w:hint="default" w:ascii="Times New Roman" w:hAnsi="Times New Roman" w:eastAsia="宋体" w:cs="Times New Roman"/>
          <w:color w:val="000000"/>
          <w:sz w:val="24"/>
          <w:szCs w:val="24"/>
        </w:rPr>
        <w:t>需要提供完善的文档，并对项目进行过程中的文档进行有效的管理，接受采购人对项目各阶段评估分析和监督管理。</w:t>
      </w:r>
    </w:p>
    <w:p w14:paraId="2A55B34D">
      <w:pPr>
        <w:keepNext w:val="0"/>
        <w:keepLines w:val="0"/>
        <w:pageBreakBefore w:val="0"/>
        <w:kinsoku/>
        <w:wordWrap/>
        <w:overflowPunct/>
        <w:topLinePunct w:val="0"/>
        <w:autoSpaceDE/>
        <w:autoSpaceDN/>
        <w:bidi w:val="0"/>
        <w:adjustRightInd w:val="0"/>
        <w:spacing w:line="360" w:lineRule="auto"/>
        <w:ind w:left="210" w:leftChars="100" w:firstLine="480" w:firstLineChars="200"/>
        <w:textAlignment w:val="baseline"/>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整个项目的过程包括后期修改维护提供系统、完整的项目管理、设计和开发、操作说明等书面文档及其电子版。</w:t>
      </w:r>
    </w:p>
    <w:p w14:paraId="25D4A801">
      <w:pPr>
        <w:keepNext w:val="0"/>
        <w:keepLines w:val="0"/>
        <w:pageBreakBefore w:val="0"/>
        <w:numPr>
          <w:ilvl w:val="0"/>
          <w:numId w:val="0"/>
        </w:numPr>
        <w:tabs>
          <w:tab w:val="left" w:pos="426"/>
        </w:tabs>
        <w:kinsoku/>
        <w:wordWrap/>
        <w:overflowPunct/>
        <w:topLinePunct w:val="0"/>
        <w:autoSpaceDE/>
        <w:autoSpaceDN/>
        <w:bidi w:val="0"/>
        <w:snapToGrid w:val="0"/>
        <w:spacing w:line="360" w:lineRule="auto"/>
        <w:outlineLvl w:val="9"/>
        <w:rPr>
          <w:rFonts w:hint="default"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三</w:t>
      </w:r>
      <w:r>
        <w:rPr>
          <w:rFonts w:hint="default" w:ascii="Times New Roman" w:hAnsi="Times New Roman" w:cs="Times New Roman"/>
          <w:b/>
          <w:bCs/>
          <w:sz w:val="32"/>
          <w:szCs w:val="32"/>
          <w:highlight w:val="none"/>
          <w:lang w:val="en-US" w:eastAsia="zh-CN"/>
        </w:rPr>
        <w:t>、技术培训要求</w:t>
      </w:r>
    </w:p>
    <w:p w14:paraId="24D508A8">
      <w:pPr>
        <w:keepNext w:val="0"/>
        <w:keepLines w:val="0"/>
        <w:pageBreakBefore w:val="0"/>
        <w:widowControl w:val="0"/>
        <w:kinsoku/>
        <w:wordWrap/>
        <w:overflowPunct/>
        <w:topLinePunct w:val="0"/>
        <w:autoSpaceDE/>
        <w:autoSpaceDN/>
        <w:bidi w:val="0"/>
        <w:adjustRightInd w:val="0"/>
        <w:spacing w:line="360" w:lineRule="auto"/>
        <w:ind w:left="0" w:firstLine="480" w:firstLineChars="200"/>
        <w:textAlignment w:val="baseline"/>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对本项目相关的具体人员进行培训。</w:t>
      </w:r>
    </w:p>
    <w:p w14:paraId="66DEC93D">
      <w:pPr>
        <w:keepNext w:val="0"/>
        <w:keepLines w:val="0"/>
        <w:pageBreakBefore w:val="0"/>
        <w:widowControl w:val="0"/>
        <w:kinsoku/>
        <w:wordWrap/>
        <w:overflowPunct/>
        <w:topLinePunct w:val="0"/>
        <w:autoSpaceDE/>
        <w:autoSpaceDN/>
        <w:bidi w:val="0"/>
        <w:adjustRightInd w:val="0"/>
        <w:spacing w:line="360" w:lineRule="auto"/>
        <w:ind w:left="0" w:firstLine="480" w:firstLineChars="200"/>
        <w:textAlignment w:val="baseline"/>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确保参培人员达到以下要求：</w:t>
      </w:r>
    </w:p>
    <w:p w14:paraId="54FE9FCD">
      <w:pPr>
        <w:keepNext w:val="0"/>
        <w:keepLines w:val="0"/>
        <w:pageBreakBefore w:val="0"/>
        <w:widowControl w:val="0"/>
        <w:numPr>
          <w:ilvl w:val="0"/>
          <w:numId w:val="6"/>
        </w:numPr>
        <w:kinsoku/>
        <w:wordWrap/>
        <w:overflowPunct/>
        <w:topLinePunct w:val="0"/>
        <w:autoSpaceDE/>
        <w:autoSpaceDN/>
        <w:bidi w:val="0"/>
        <w:snapToGrid w:val="0"/>
        <w:spacing w:line="360" w:lineRule="auto"/>
        <w:ind w:left="0" w:firstLine="480" w:firstLineChars="200"/>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维护人员经过培训后，可熟练使用应用系统软件，独立完成硬件日常维护工作，能够掌握系统运行情况以及及时排除系统故障。</w:t>
      </w:r>
    </w:p>
    <w:p w14:paraId="04ADE386">
      <w:pPr>
        <w:keepNext w:val="0"/>
        <w:keepLines w:val="0"/>
        <w:pageBreakBefore w:val="0"/>
        <w:widowControl w:val="0"/>
        <w:numPr>
          <w:ilvl w:val="0"/>
          <w:numId w:val="6"/>
        </w:numPr>
        <w:kinsoku/>
        <w:wordWrap/>
        <w:overflowPunct/>
        <w:topLinePunct w:val="0"/>
        <w:autoSpaceDE/>
        <w:autoSpaceDN/>
        <w:bidi w:val="0"/>
        <w:snapToGrid w:val="0"/>
        <w:spacing w:line="360" w:lineRule="auto"/>
        <w:ind w:left="0" w:firstLine="480" w:firstLineChars="200"/>
        <w:outlineLvl w:val="9"/>
        <w:rPr>
          <w:rFonts w:hint="default" w:ascii="Times New Roman" w:hAnsi="Times New Roman" w:eastAsia="宋体" w:cs="Times New Roman"/>
          <w:b/>
          <w:bCs/>
          <w:sz w:val="24"/>
          <w:szCs w:val="24"/>
        </w:rPr>
      </w:pPr>
      <w:r>
        <w:rPr>
          <w:rFonts w:hint="default" w:ascii="Times New Roman" w:hAnsi="Times New Roman" w:eastAsia="宋体" w:cs="Times New Roman"/>
          <w:color w:val="000000"/>
          <w:sz w:val="24"/>
          <w:szCs w:val="24"/>
        </w:rPr>
        <w:t>系统管理员经过培训后，可以掌握系统软件和应用软件的使用，熟悉系统整体结构，能够独立阅读分析并处理系统故障，管理系统设备。</w:t>
      </w:r>
    </w:p>
    <w:p w14:paraId="47376C19">
      <w:pPr>
        <w:keepNext w:val="0"/>
        <w:keepLines w:val="0"/>
        <w:pageBreakBefore w:val="0"/>
        <w:numPr>
          <w:ilvl w:val="0"/>
          <w:numId w:val="0"/>
        </w:numPr>
        <w:tabs>
          <w:tab w:val="left" w:pos="426"/>
        </w:tabs>
        <w:kinsoku/>
        <w:wordWrap/>
        <w:overflowPunct/>
        <w:topLinePunct w:val="0"/>
        <w:autoSpaceDE/>
        <w:autoSpaceDN/>
        <w:bidi w:val="0"/>
        <w:snapToGrid w:val="0"/>
        <w:spacing w:line="360" w:lineRule="auto"/>
        <w:outlineLvl w:val="9"/>
        <w:rPr>
          <w:rFonts w:hint="default"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四</w:t>
      </w:r>
      <w:r>
        <w:rPr>
          <w:rFonts w:hint="default" w:ascii="Times New Roman" w:hAnsi="Times New Roman" w:cs="Times New Roman"/>
          <w:b/>
          <w:bCs/>
          <w:sz w:val="32"/>
          <w:szCs w:val="32"/>
          <w:highlight w:val="none"/>
          <w:lang w:val="en-US" w:eastAsia="zh-CN"/>
        </w:rPr>
        <w:t>、售后服务要求</w:t>
      </w:r>
    </w:p>
    <w:p w14:paraId="783E34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val="en-US" w:eastAsia="zh-CN"/>
        </w:rPr>
        <w:t>1.</w:t>
      </w:r>
      <w:r>
        <w:rPr>
          <w:rFonts w:hint="eastAsia" w:ascii="Times New Roman" w:hAnsi="Times New Roman" w:eastAsia="宋体" w:cs="Times New Roman"/>
          <w:color w:val="000000"/>
          <w:sz w:val="24"/>
          <w:szCs w:val="24"/>
          <w:lang w:val="en-US" w:eastAsia="zh-CN"/>
        </w:rPr>
        <w:t>质保期</w:t>
      </w:r>
    </w:p>
    <w:p w14:paraId="0C49B1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验收合格之日起提供3年系统软件的质保期，所有硬件3年原厂保修，</w:t>
      </w:r>
      <w:r>
        <w:rPr>
          <w:rFonts w:hint="eastAsia" w:ascii="Times New Roman" w:hAnsi="Times New Roman" w:eastAsia="宋体" w:cs="Times New Roman"/>
          <w:color w:val="000000"/>
          <w:sz w:val="24"/>
          <w:szCs w:val="24"/>
          <w:lang w:val="en-US" w:eastAsia="zh-CN"/>
        </w:rPr>
        <w:t>质保期</w:t>
      </w:r>
      <w:r>
        <w:rPr>
          <w:rFonts w:hint="default" w:ascii="Times New Roman" w:hAnsi="Times New Roman" w:eastAsia="宋体" w:cs="Times New Roman"/>
          <w:color w:val="000000"/>
          <w:sz w:val="24"/>
          <w:szCs w:val="24"/>
        </w:rPr>
        <w:t>内零配件应免费更换。原厂负责设备维修。需返厂维修的部件</w:t>
      </w: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rPr>
        <w:t>负责提供符合要求的替代产品，运费由</w:t>
      </w:r>
      <w:r>
        <w:rPr>
          <w:rFonts w:hint="eastAsia" w:ascii="Times New Roman" w:hAnsi="Times New Roman" w:eastAsia="宋体" w:cs="Times New Roman"/>
          <w:color w:val="000000"/>
          <w:sz w:val="24"/>
          <w:szCs w:val="24"/>
          <w:lang w:val="en-US" w:eastAsia="zh-CN"/>
        </w:rPr>
        <w:t>供应商</w:t>
      </w:r>
      <w:r>
        <w:rPr>
          <w:rFonts w:hint="default" w:ascii="Times New Roman" w:hAnsi="Times New Roman" w:eastAsia="宋体" w:cs="Times New Roman"/>
          <w:color w:val="000000"/>
          <w:sz w:val="24"/>
          <w:szCs w:val="24"/>
        </w:rPr>
        <w:t>负担。</w:t>
      </w:r>
    </w:p>
    <w:p w14:paraId="3CE289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运维团队</w:t>
      </w:r>
    </w:p>
    <w:p w14:paraId="01B7B7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outlineLvl w:val="9"/>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中标人</w:t>
      </w:r>
      <w:r>
        <w:rPr>
          <w:rFonts w:hint="default" w:ascii="Times New Roman" w:hAnsi="Times New Roman" w:eastAsia="宋体" w:cs="Times New Roman"/>
          <w:color w:val="000000"/>
          <w:sz w:val="24"/>
          <w:szCs w:val="24"/>
        </w:rPr>
        <w:t>组建专业</w:t>
      </w:r>
      <w:r>
        <w:rPr>
          <w:rFonts w:hint="eastAsia" w:ascii="Times New Roman" w:hAnsi="Times New Roman" w:eastAsia="宋体" w:cs="Times New Roman"/>
          <w:color w:val="000000"/>
          <w:sz w:val="24"/>
          <w:szCs w:val="24"/>
          <w:lang w:val="en-US" w:eastAsia="zh-CN"/>
        </w:rPr>
        <w:t>运维</w:t>
      </w:r>
      <w:r>
        <w:rPr>
          <w:rFonts w:hint="default" w:ascii="Times New Roman" w:hAnsi="Times New Roman" w:eastAsia="宋体" w:cs="Times New Roman"/>
          <w:color w:val="000000"/>
          <w:sz w:val="24"/>
          <w:szCs w:val="24"/>
        </w:rPr>
        <w:t>团队，为医院药品批量追溯核对系统项目提供 7×24 小时响应服务需求。</w:t>
      </w:r>
    </w:p>
    <w:p w14:paraId="55584CC1">
      <w:pPr>
        <w:keepNext w:val="0"/>
        <w:keepLines w:val="0"/>
        <w:pageBreakBefore w:val="0"/>
        <w:numPr>
          <w:ilvl w:val="0"/>
          <w:numId w:val="0"/>
        </w:numPr>
        <w:tabs>
          <w:tab w:val="left" w:pos="426"/>
        </w:tabs>
        <w:kinsoku/>
        <w:wordWrap/>
        <w:overflowPunct/>
        <w:topLinePunct w:val="0"/>
        <w:autoSpaceDE/>
        <w:autoSpaceDN/>
        <w:bidi w:val="0"/>
        <w:snapToGrid w:val="0"/>
        <w:spacing w:line="360" w:lineRule="auto"/>
        <w:outlineLvl w:val="9"/>
        <w:rPr>
          <w:rFonts w:hint="default"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五</w:t>
      </w:r>
      <w:r>
        <w:rPr>
          <w:rFonts w:hint="default" w:ascii="Times New Roman" w:hAnsi="Times New Roman" w:cs="Times New Roman"/>
          <w:b/>
          <w:bCs/>
          <w:sz w:val="32"/>
          <w:szCs w:val="32"/>
          <w:highlight w:val="none"/>
          <w:lang w:val="en-US" w:eastAsia="zh-CN"/>
        </w:rPr>
        <w:t>、验收</w:t>
      </w:r>
    </w:p>
    <w:p w14:paraId="1EE373F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firstLine="480" w:firstLineChars="20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按照合同规定的时间提交产品，并在医院现场以双方认可的方式进行软件及硬件产品安装。</w:t>
      </w:r>
    </w:p>
    <w:p w14:paraId="617FDC58">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firstLine="480" w:firstLineChars="20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软件产品实施验收按照合同计划进行，须在验收时完成软件产品实施功能确认。</w:t>
      </w:r>
    </w:p>
    <w:p w14:paraId="044C53D0">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firstLine="480" w:firstLineChars="200"/>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验收由医院相关人员按照合同</w:t>
      </w:r>
      <w:r>
        <w:rPr>
          <w:rFonts w:hint="eastAsia" w:ascii="Times New Roman" w:hAnsi="Times New Roman" w:eastAsia="宋体" w:cs="Times New Roman"/>
          <w:color w:val="000000"/>
          <w:sz w:val="24"/>
          <w:szCs w:val="24"/>
          <w:lang w:val="en-US" w:eastAsia="zh-CN"/>
        </w:rPr>
        <w:t>内容逐条验收</w:t>
      </w:r>
      <w:r>
        <w:rPr>
          <w:rFonts w:hint="default" w:ascii="Times New Roman" w:hAnsi="Times New Roman" w:eastAsia="宋体" w:cs="Times New Roman"/>
          <w:color w:val="000000"/>
          <w:sz w:val="24"/>
          <w:szCs w:val="24"/>
        </w:rPr>
        <w:t>。</w:t>
      </w:r>
    </w:p>
    <w:p w14:paraId="1C199FD9">
      <w:pPr>
        <w:keepNext w:val="0"/>
        <w:keepLines w:val="0"/>
        <w:pageBreakBefore w:val="0"/>
        <w:numPr>
          <w:ilvl w:val="0"/>
          <w:numId w:val="0"/>
        </w:numPr>
        <w:tabs>
          <w:tab w:val="left" w:pos="426"/>
        </w:tabs>
        <w:kinsoku/>
        <w:wordWrap/>
        <w:overflowPunct/>
        <w:topLinePunct w:val="0"/>
        <w:autoSpaceDE/>
        <w:autoSpaceDN/>
        <w:bidi w:val="0"/>
        <w:snapToGrid w:val="0"/>
        <w:spacing w:line="360" w:lineRule="auto"/>
        <w:outlineLvl w:val="9"/>
        <w:rPr>
          <w:rFonts w:hint="default"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六、</w:t>
      </w:r>
      <w:r>
        <w:rPr>
          <w:rFonts w:hint="default" w:ascii="Times New Roman" w:hAnsi="Times New Roman" w:cs="Times New Roman"/>
          <w:b/>
          <w:bCs/>
          <w:sz w:val="32"/>
          <w:szCs w:val="32"/>
          <w:highlight w:val="none"/>
          <w:lang w:val="en-US" w:eastAsia="zh-CN"/>
        </w:rPr>
        <w:t xml:space="preserve">报价要求及其他要求 </w:t>
      </w:r>
    </w:p>
    <w:p w14:paraId="6249CF62">
      <w:pPr>
        <w:keepNext w:val="0"/>
        <w:keepLines w:val="0"/>
        <w:pageBreakBefore w:val="0"/>
        <w:numPr>
          <w:ilvl w:val="0"/>
          <w:numId w:val="0"/>
        </w:numPr>
        <w:tabs>
          <w:tab w:val="left" w:pos="993"/>
        </w:tabs>
        <w:kinsoku/>
        <w:wordWrap/>
        <w:overflowPunct/>
        <w:topLinePunct w:val="0"/>
        <w:autoSpaceDE/>
        <w:autoSpaceDN/>
        <w:bidi w:val="0"/>
        <w:snapToGrid w:val="0"/>
        <w:spacing w:line="360" w:lineRule="auto"/>
        <w:ind w:firstLine="480" w:firstLineChars="200"/>
        <w:outlineLvl w:val="9"/>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1.本项目报价按照总价进行报价，包含所需定制开发软件及配套硬件设施设备费、系统安装费、培训费、系统部署建设费用、调试、检测验收、技术服务、系统升级、税金和约定期限内免费维保等一切为实现功能所需的软硬件及服务，采购人不再支付其他关联费用。</w:t>
      </w:r>
    </w:p>
    <w:p w14:paraId="4AFC9D6F">
      <w:pPr>
        <w:keepNext w:val="0"/>
        <w:keepLines w:val="0"/>
        <w:pageBreakBefore w:val="0"/>
        <w:numPr>
          <w:ilvl w:val="0"/>
          <w:numId w:val="0"/>
        </w:numPr>
        <w:tabs>
          <w:tab w:val="left" w:pos="993"/>
        </w:tabs>
        <w:kinsoku/>
        <w:wordWrap/>
        <w:overflowPunct/>
        <w:topLinePunct w:val="0"/>
        <w:autoSpaceDE/>
        <w:autoSpaceDN/>
        <w:bidi w:val="0"/>
        <w:snapToGrid w:val="0"/>
        <w:spacing w:line="360" w:lineRule="auto"/>
        <w:ind w:leftChars="0"/>
        <w:outlineLvl w:val="9"/>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2.本项目报价包含质保期内所有软、硬件、接口服务等费用，采购人不再支付其他任何维护费用。</w:t>
      </w:r>
    </w:p>
    <w:p w14:paraId="206EE3DF">
      <w:pPr>
        <w:keepNext w:val="0"/>
        <w:keepLines w:val="0"/>
        <w:pageBreakBefore w:val="0"/>
        <w:numPr>
          <w:ilvl w:val="0"/>
          <w:numId w:val="0"/>
        </w:numPr>
        <w:tabs>
          <w:tab w:val="left" w:pos="993"/>
        </w:tabs>
        <w:kinsoku/>
        <w:wordWrap/>
        <w:overflowPunct/>
        <w:topLinePunct w:val="0"/>
        <w:autoSpaceDE/>
        <w:autoSpaceDN/>
        <w:bidi w:val="0"/>
        <w:snapToGrid w:val="0"/>
        <w:spacing w:line="360" w:lineRule="auto"/>
        <w:ind w:leftChars="0"/>
        <w:outlineLvl w:val="9"/>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3.供应商在报价时应考虑各种风险因素，相关风险因素费用包含在报价总价中。</w:t>
      </w:r>
    </w:p>
    <w:p w14:paraId="0B24EE49">
      <w:pPr>
        <w:spacing w:line="560" w:lineRule="exact"/>
        <w:jc w:val="center"/>
        <w:outlineLvl w:val="0"/>
        <w:rPr>
          <w:rFonts w:ascii="黑体" w:hAnsi="黑体" w:eastAsia="黑体" w:cs="黑体"/>
          <w:bCs/>
          <w:sz w:val="44"/>
          <w:szCs w:val="44"/>
        </w:rPr>
      </w:pPr>
    </w:p>
    <w:p w14:paraId="78205708">
      <w:pPr>
        <w:spacing w:line="560" w:lineRule="exact"/>
        <w:jc w:val="center"/>
        <w:outlineLvl w:val="0"/>
        <w:rPr>
          <w:rFonts w:ascii="黑体" w:hAnsi="黑体" w:eastAsia="黑体" w:cs="黑体"/>
          <w:bCs/>
          <w:sz w:val="44"/>
          <w:szCs w:val="44"/>
        </w:rPr>
      </w:pPr>
    </w:p>
    <w:p w14:paraId="2173AA66">
      <w:pPr>
        <w:spacing w:line="560" w:lineRule="exact"/>
        <w:jc w:val="center"/>
        <w:outlineLvl w:val="0"/>
        <w:rPr>
          <w:rFonts w:ascii="黑体" w:hAnsi="黑体" w:eastAsia="黑体" w:cs="黑体"/>
          <w:bCs/>
          <w:sz w:val="44"/>
          <w:szCs w:val="44"/>
        </w:rPr>
      </w:pPr>
    </w:p>
    <w:p w14:paraId="09B18D73">
      <w:pPr>
        <w:pStyle w:val="8"/>
        <w:rPr>
          <w:rFonts w:ascii="黑体" w:hAnsi="黑体" w:eastAsia="黑体" w:cs="黑体"/>
          <w:bCs/>
          <w:sz w:val="44"/>
          <w:szCs w:val="44"/>
        </w:rPr>
      </w:pPr>
    </w:p>
    <w:p w14:paraId="5863C4EB">
      <w:pPr>
        <w:pStyle w:val="9"/>
        <w:rPr>
          <w:rFonts w:ascii="黑体" w:hAnsi="黑体" w:eastAsia="黑体" w:cs="黑体"/>
          <w:bCs/>
          <w:sz w:val="44"/>
          <w:szCs w:val="44"/>
        </w:rPr>
      </w:pPr>
    </w:p>
    <w:p w14:paraId="76E67832">
      <w:pPr>
        <w:pStyle w:val="10"/>
        <w:rPr>
          <w:rFonts w:ascii="黑体" w:hAnsi="黑体" w:eastAsia="黑体" w:cs="黑体"/>
          <w:bCs/>
          <w:sz w:val="44"/>
          <w:szCs w:val="44"/>
        </w:rPr>
      </w:pPr>
    </w:p>
    <w:p w14:paraId="375FB8BA"/>
    <w:p w14:paraId="7906F0AA">
      <w:pPr>
        <w:spacing w:line="560" w:lineRule="exact"/>
        <w:jc w:val="center"/>
        <w:outlineLvl w:val="0"/>
        <w:rPr>
          <w:rFonts w:ascii="黑体" w:hAnsi="黑体" w:eastAsia="黑体" w:cs="黑体"/>
          <w:bCs/>
          <w:sz w:val="44"/>
          <w:szCs w:val="44"/>
        </w:rPr>
      </w:pPr>
    </w:p>
    <w:p w14:paraId="16E4170B">
      <w:pPr>
        <w:spacing w:line="560" w:lineRule="exact"/>
        <w:jc w:val="center"/>
        <w:outlineLvl w:val="0"/>
        <w:rPr>
          <w:rFonts w:ascii="黑体" w:hAnsi="黑体" w:eastAsia="黑体" w:cs="黑体"/>
          <w:bCs/>
          <w:sz w:val="44"/>
          <w:szCs w:val="44"/>
        </w:rPr>
      </w:pPr>
      <w:r>
        <w:rPr>
          <w:rFonts w:hint="eastAsia" w:ascii="黑体" w:hAnsi="黑体" w:eastAsia="黑体" w:cs="黑体"/>
          <w:bCs/>
          <w:sz w:val="44"/>
          <w:szCs w:val="44"/>
        </w:rPr>
        <w:t>第四章 评审办法</w:t>
      </w:r>
      <w:bookmarkEnd w:id="5"/>
    </w:p>
    <w:p w14:paraId="0AB4EB9C">
      <w:pPr>
        <w:spacing w:line="560" w:lineRule="exact"/>
        <w:jc w:val="center"/>
        <w:rPr>
          <w:rFonts w:ascii="黑体" w:hAnsi="黑体" w:eastAsia="黑体" w:cs="黑体"/>
          <w:bCs/>
          <w:sz w:val="44"/>
          <w:szCs w:val="44"/>
        </w:rPr>
      </w:pPr>
    </w:p>
    <w:p w14:paraId="15E7C09C">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42C6349B">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1.本次项目评审采用询比方式。</w:t>
      </w:r>
    </w:p>
    <w:p w14:paraId="6DFE2786">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02EBA390">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14:paraId="506A07C2">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w:t>
      </w:r>
      <w:r>
        <w:rPr>
          <w:rFonts w:hint="eastAsia" w:ascii="宋体" w:hAnsi="宋体" w:cs="宋体"/>
          <w:kern w:val="0"/>
          <w:sz w:val="32"/>
          <w:szCs w:val="32"/>
          <w:lang w:eastAsia="zh-CN"/>
        </w:rPr>
        <w:t>服务</w:t>
      </w:r>
      <w:r>
        <w:rPr>
          <w:rFonts w:hint="eastAsia" w:ascii="宋体" w:hAnsi="宋体" w:cs="宋体"/>
          <w:kern w:val="0"/>
          <w:sz w:val="32"/>
          <w:szCs w:val="32"/>
        </w:rPr>
        <w:t>活动前三年内,与</w:t>
      </w:r>
      <w:r>
        <w:rPr>
          <w:rFonts w:hint="eastAsia" w:ascii="宋体" w:hAnsi="宋体" w:cs="宋体"/>
          <w:kern w:val="0"/>
          <w:sz w:val="32"/>
          <w:szCs w:val="32"/>
          <w:lang w:eastAsia="zh-CN"/>
        </w:rPr>
        <w:t>供应商</w:t>
      </w:r>
      <w:r>
        <w:rPr>
          <w:rFonts w:hint="eastAsia" w:ascii="宋体" w:hAnsi="宋体" w:cs="宋体"/>
          <w:kern w:val="0"/>
          <w:sz w:val="32"/>
          <w:szCs w:val="32"/>
        </w:rPr>
        <w:t>存在劳动关系,</w:t>
      </w:r>
      <w:r>
        <w:rPr>
          <w:rFonts w:hint="eastAsia" w:ascii="Times New Roman" w:hAnsi="Times New Roman"/>
          <w:sz w:val="32"/>
          <w:szCs w:val="32"/>
        </w:rPr>
        <w:t xml:space="preserve"> </w:t>
      </w:r>
      <w:r>
        <w:rPr>
          <w:rFonts w:hint="eastAsia" w:ascii="宋体" w:hAnsi="宋体" w:cs="宋体"/>
          <w:kern w:val="0"/>
          <w:sz w:val="32"/>
          <w:szCs w:val="32"/>
        </w:rPr>
        <w:t>或者担任过</w:t>
      </w:r>
      <w:r>
        <w:rPr>
          <w:rFonts w:hint="eastAsia" w:ascii="宋体" w:hAnsi="宋体" w:cs="宋体"/>
          <w:kern w:val="0"/>
          <w:sz w:val="32"/>
          <w:szCs w:val="32"/>
          <w:lang w:eastAsia="zh-CN"/>
        </w:rPr>
        <w:t>供应商</w:t>
      </w:r>
      <w:r>
        <w:rPr>
          <w:rFonts w:hint="eastAsia" w:ascii="宋体" w:hAnsi="宋体" w:cs="宋体"/>
          <w:kern w:val="0"/>
          <w:sz w:val="32"/>
          <w:szCs w:val="32"/>
        </w:rPr>
        <w:t>的董事、监事,或者是</w:t>
      </w:r>
      <w:r>
        <w:rPr>
          <w:rFonts w:hint="eastAsia" w:ascii="宋体" w:hAnsi="宋体" w:cs="宋体"/>
          <w:kern w:val="0"/>
          <w:sz w:val="32"/>
          <w:szCs w:val="32"/>
          <w:lang w:eastAsia="zh-CN"/>
        </w:rPr>
        <w:t>供应商</w:t>
      </w:r>
      <w:r>
        <w:rPr>
          <w:rFonts w:hint="eastAsia" w:ascii="宋体" w:hAnsi="宋体" w:cs="宋体"/>
          <w:kern w:val="0"/>
          <w:sz w:val="32"/>
          <w:szCs w:val="32"/>
        </w:rPr>
        <w:t>的控股股东或实际控制人；或者与</w:t>
      </w:r>
      <w:r>
        <w:rPr>
          <w:rFonts w:hint="eastAsia" w:ascii="宋体" w:hAnsi="宋体" w:cs="宋体"/>
          <w:kern w:val="0"/>
          <w:sz w:val="32"/>
          <w:szCs w:val="32"/>
          <w:lang w:eastAsia="zh-CN"/>
        </w:rPr>
        <w:t>供应商</w:t>
      </w:r>
      <w:r>
        <w:rPr>
          <w:rFonts w:hint="eastAsia" w:ascii="宋体" w:hAnsi="宋体" w:cs="宋体"/>
          <w:kern w:val="0"/>
          <w:sz w:val="32"/>
          <w:szCs w:val="32"/>
        </w:rPr>
        <w:t>正在进行合作；</w:t>
      </w:r>
    </w:p>
    <w:p w14:paraId="615B1395">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w:t>
      </w:r>
      <w:r>
        <w:rPr>
          <w:rFonts w:hint="eastAsia" w:ascii="宋体" w:hAnsi="宋体" w:cs="宋体"/>
          <w:kern w:val="0"/>
          <w:sz w:val="32"/>
          <w:szCs w:val="32"/>
          <w:lang w:eastAsia="zh-CN"/>
        </w:rPr>
        <w:t>供应商</w:t>
      </w:r>
      <w:r>
        <w:rPr>
          <w:rFonts w:hint="eastAsia" w:ascii="宋体" w:hAnsi="宋体" w:cs="宋体"/>
          <w:kern w:val="0"/>
          <w:sz w:val="32"/>
          <w:szCs w:val="32"/>
        </w:rPr>
        <w:t>的法定代表人或者负责人有夫妻、直系血亲、三代以内旁系血亲或者近姻亲关系；</w:t>
      </w:r>
    </w:p>
    <w:p w14:paraId="05083E33">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w:t>
      </w:r>
      <w:r>
        <w:rPr>
          <w:rFonts w:hint="eastAsia" w:ascii="宋体" w:hAnsi="宋体" w:cs="宋体"/>
          <w:kern w:val="0"/>
          <w:sz w:val="32"/>
          <w:szCs w:val="32"/>
          <w:lang w:eastAsia="zh-CN"/>
        </w:rPr>
        <w:t>供应商</w:t>
      </w:r>
      <w:r>
        <w:rPr>
          <w:rFonts w:hint="eastAsia" w:ascii="宋体" w:hAnsi="宋体" w:cs="宋体"/>
          <w:kern w:val="0"/>
          <w:sz w:val="32"/>
          <w:szCs w:val="32"/>
        </w:rPr>
        <w:t>有其他可能影响招标</w:t>
      </w:r>
      <w:r>
        <w:rPr>
          <w:rFonts w:hint="eastAsia" w:ascii="宋体" w:hAnsi="宋体" w:cs="宋体"/>
          <w:kern w:val="0"/>
          <w:sz w:val="32"/>
          <w:szCs w:val="32"/>
          <w:lang w:eastAsia="zh-CN"/>
        </w:rPr>
        <w:t>服务</w:t>
      </w:r>
      <w:r>
        <w:rPr>
          <w:rFonts w:hint="eastAsia" w:ascii="宋体" w:hAnsi="宋体" w:cs="宋体"/>
          <w:kern w:val="0"/>
          <w:sz w:val="32"/>
          <w:szCs w:val="32"/>
        </w:rPr>
        <w:t>活动公平、公正进行的关系。</w:t>
      </w:r>
    </w:p>
    <w:p w14:paraId="40312B00">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9" w:name="_Hlk42353593"/>
      <w:r>
        <w:rPr>
          <w:rFonts w:hint="eastAsia" w:ascii="宋体" w:hAnsi="宋体" w:cs="宋体"/>
          <w:kern w:val="0"/>
          <w:sz w:val="32"/>
          <w:szCs w:val="32"/>
        </w:rPr>
        <w:t>.询比小组负责具体评审事务，并独立履行下列职责：</w:t>
      </w:r>
    </w:p>
    <w:p w14:paraId="5735FB01">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0A6664EF">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w:t>
      </w:r>
      <w:r>
        <w:rPr>
          <w:rFonts w:hint="eastAsia" w:ascii="宋体" w:hAnsi="宋体" w:cs="宋体"/>
          <w:kern w:val="0"/>
          <w:sz w:val="32"/>
          <w:szCs w:val="32"/>
          <w:lang w:eastAsia="zh-CN"/>
        </w:rPr>
        <w:t>供应商</w:t>
      </w:r>
      <w:r>
        <w:rPr>
          <w:rFonts w:hint="eastAsia" w:ascii="宋体" w:hAnsi="宋体" w:cs="宋体"/>
          <w:kern w:val="0"/>
          <w:sz w:val="32"/>
          <w:szCs w:val="32"/>
        </w:rPr>
        <w:t>对响应文件有关事项作出澄清或者说明；</w:t>
      </w:r>
    </w:p>
    <w:p w14:paraId="6922A875">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7D053837">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w:t>
      </w:r>
      <w:r>
        <w:rPr>
          <w:rFonts w:hint="eastAsia" w:ascii="宋体" w:hAnsi="宋体" w:cs="宋体"/>
          <w:kern w:val="0"/>
          <w:sz w:val="32"/>
          <w:szCs w:val="32"/>
          <w:lang w:eastAsia="zh-CN"/>
        </w:rPr>
        <w:t>采购人</w:t>
      </w:r>
      <w:r>
        <w:rPr>
          <w:rFonts w:hint="eastAsia" w:ascii="宋体" w:hAnsi="宋体" w:cs="宋体"/>
          <w:kern w:val="0"/>
          <w:sz w:val="32"/>
          <w:szCs w:val="32"/>
        </w:rPr>
        <w:t>委托直接确定成交人。</w:t>
      </w:r>
    </w:p>
    <w:bookmarkEnd w:id="9"/>
    <w:p w14:paraId="2EF9AB5C">
      <w:pPr>
        <w:spacing w:line="360" w:lineRule="auto"/>
        <w:ind w:left="1326" w:leftChars="-28" w:hanging="1385" w:hangingChars="431"/>
        <w:rPr>
          <w:rFonts w:ascii="宋体" w:hAnsi="宋体" w:cs="宋体"/>
          <w:b/>
          <w:bCs/>
          <w:kern w:val="0"/>
          <w:sz w:val="32"/>
          <w:szCs w:val="32"/>
        </w:rPr>
      </w:pPr>
      <w:r>
        <w:rPr>
          <w:rFonts w:hint="eastAsia" w:ascii="宋体" w:hAnsi="宋体" w:cs="宋体"/>
          <w:b/>
          <w:bCs/>
          <w:kern w:val="0"/>
          <w:sz w:val="32"/>
          <w:szCs w:val="32"/>
          <w:lang w:val="en-US" w:eastAsia="zh-CN"/>
        </w:rPr>
        <w:t>二</w:t>
      </w:r>
      <w:r>
        <w:rPr>
          <w:rFonts w:hint="eastAsia" w:ascii="宋体" w:hAnsi="宋体" w:cs="宋体"/>
          <w:b/>
          <w:bCs/>
          <w:kern w:val="0"/>
          <w:sz w:val="32"/>
          <w:szCs w:val="32"/>
        </w:rPr>
        <w:t>、评审办法</w:t>
      </w:r>
    </w:p>
    <w:p w14:paraId="3D782DF1">
      <w:pPr>
        <w:tabs>
          <w:tab w:val="left" w:pos="851"/>
        </w:tabs>
        <w:spacing w:line="360" w:lineRule="auto"/>
        <w:ind w:firstLine="640" w:firstLineChars="200"/>
        <w:jc w:val="left"/>
        <w:rPr>
          <w:rFonts w:ascii="宋体" w:hAnsi="宋体" w:cs="宋体"/>
          <w:kern w:val="0"/>
          <w:sz w:val="32"/>
          <w:szCs w:val="32"/>
          <w:lang w:val="zh-CN"/>
        </w:rPr>
      </w:pPr>
      <w:r>
        <w:rPr>
          <w:rFonts w:hint="eastAsia" w:ascii="宋体" w:hAnsi="宋体" w:cs="宋体"/>
          <w:kern w:val="0"/>
          <w:sz w:val="32"/>
          <w:szCs w:val="32"/>
          <w:lang w:val="en-US" w:eastAsia="zh-CN"/>
        </w:rPr>
        <w:t>1、</w:t>
      </w:r>
      <w:r>
        <w:rPr>
          <w:rFonts w:hint="eastAsia" w:ascii="宋体" w:hAnsi="宋体" w:cs="宋体"/>
          <w:kern w:val="0"/>
          <w:sz w:val="32"/>
          <w:szCs w:val="32"/>
        </w:rPr>
        <w:t>由询比小组采用综合评估法对提交报价的</w:t>
      </w:r>
      <w:r>
        <w:rPr>
          <w:rFonts w:hint="eastAsia" w:ascii="宋体" w:hAnsi="宋体" w:cs="宋体"/>
          <w:kern w:val="0"/>
          <w:sz w:val="32"/>
          <w:szCs w:val="32"/>
          <w:lang w:eastAsia="zh-CN"/>
        </w:rPr>
        <w:t>供应商</w:t>
      </w:r>
      <w:r>
        <w:rPr>
          <w:rFonts w:hint="eastAsia" w:ascii="宋体" w:hAnsi="宋体" w:cs="宋体"/>
          <w:kern w:val="0"/>
          <w:sz w:val="32"/>
          <w:szCs w:val="32"/>
        </w:rPr>
        <w:t>的询比响应文件进行综合评分。</w:t>
      </w:r>
      <w:r>
        <w:rPr>
          <w:rFonts w:hint="eastAsia" w:ascii="宋体" w:hAnsi="宋体" w:cs="宋体"/>
          <w:kern w:val="0"/>
          <w:sz w:val="32"/>
          <w:szCs w:val="32"/>
          <w:lang w:val="zh-CN"/>
        </w:rPr>
        <w:t>询比文件中没有规定的评审标准不得作为评审依据。</w:t>
      </w:r>
    </w:p>
    <w:p w14:paraId="36A835AD">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2、</w:t>
      </w:r>
      <w:r>
        <w:rPr>
          <w:rFonts w:hint="eastAsia" w:ascii="宋体" w:hAnsi="宋体" w:cs="宋体"/>
          <w:kern w:val="0"/>
          <w:sz w:val="32"/>
          <w:szCs w:val="32"/>
        </w:rPr>
        <w:t>本项目评分分值为技术资信得分和商务报价得分小数点后保留2位小数，四舍五入。</w:t>
      </w:r>
    </w:p>
    <w:p w14:paraId="1AAB6564">
      <w:pPr>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3、</w:t>
      </w:r>
      <w:r>
        <w:rPr>
          <w:rFonts w:hint="eastAsia" w:ascii="宋体" w:hAnsi="宋体" w:cs="宋体"/>
          <w:kern w:val="0"/>
          <w:sz w:val="32"/>
          <w:szCs w:val="32"/>
        </w:rPr>
        <w:t>商务报价分统一采用低价优先法计算，即满足询比文件要求且最后响应最低的</w:t>
      </w:r>
      <w:r>
        <w:rPr>
          <w:rFonts w:hint="eastAsia" w:ascii="宋体" w:hAnsi="宋体" w:cs="宋体"/>
          <w:kern w:val="0"/>
          <w:sz w:val="32"/>
          <w:szCs w:val="32"/>
          <w:lang w:eastAsia="zh-CN"/>
        </w:rPr>
        <w:t>供应商</w:t>
      </w:r>
      <w:r>
        <w:rPr>
          <w:rFonts w:hint="eastAsia" w:ascii="宋体" w:hAnsi="宋体" w:cs="宋体"/>
          <w:kern w:val="0"/>
          <w:sz w:val="32"/>
          <w:szCs w:val="32"/>
        </w:rPr>
        <w:t>的价格为评标基准价，其价格分为满分。其他</w:t>
      </w:r>
      <w:r>
        <w:rPr>
          <w:rFonts w:hint="eastAsia" w:ascii="宋体" w:hAnsi="宋体" w:cs="宋体"/>
          <w:kern w:val="0"/>
          <w:sz w:val="32"/>
          <w:szCs w:val="32"/>
          <w:lang w:eastAsia="zh-CN"/>
        </w:rPr>
        <w:t>供应商</w:t>
      </w:r>
      <w:r>
        <w:rPr>
          <w:rFonts w:hint="eastAsia" w:ascii="宋体" w:hAnsi="宋体" w:cs="宋体"/>
          <w:kern w:val="0"/>
          <w:sz w:val="32"/>
          <w:szCs w:val="32"/>
        </w:rPr>
        <w:t>的价格分统一按照下列公式计算：</w:t>
      </w:r>
    </w:p>
    <w:p w14:paraId="7D695177">
      <w:pPr>
        <w:widowControl/>
        <w:spacing w:line="360" w:lineRule="auto"/>
        <w:ind w:right="45"/>
        <w:jc w:val="left"/>
        <w:rPr>
          <w:rFonts w:ascii="宋体" w:hAnsi="宋体"/>
          <w:sz w:val="32"/>
          <w:szCs w:val="32"/>
        </w:rPr>
      </w:pPr>
      <w:r>
        <w:rPr>
          <w:rFonts w:hint="eastAsia" w:ascii="宋体" w:hAnsi="宋体"/>
          <w:sz w:val="32"/>
          <w:szCs w:val="32"/>
        </w:rPr>
        <w:t>报价得分</w:t>
      </w:r>
      <w:r>
        <w:rPr>
          <w:rFonts w:ascii="宋体" w:hAnsi="宋体"/>
          <w:sz w:val="32"/>
          <w:szCs w:val="32"/>
        </w:rPr>
        <w:t>=</w:t>
      </w:r>
      <w:r>
        <w:rPr>
          <w:rFonts w:hint="eastAsia" w:ascii="宋体" w:hAnsi="宋体"/>
          <w:sz w:val="32"/>
          <w:szCs w:val="32"/>
        </w:rPr>
        <w:t>（评标基准价</w:t>
      </w:r>
      <w:r>
        <w:rPr>
          <w:rFonts w:ascii="宋体" w:hAnsi="宋体"/>
          <w:sz w:val="32"/>
          <w:szCs w:val="32"/>
        </w:rPr>
        <w:t>/</w:t>
      </w:r>
      <w:r>
        <w:rPr>
          <w:rFonts w:hint="eastAsia" w:ascii="宋体" w:hAnsi="宋体"/>
          <w:sz w:val="32"/>
          <w:szCs w:val="32"/>
        </w:rPr>
        <w:t>最后报价）×</w:t>
      </w:r>
      <w:r>
        <w:rPr>
          <w:rFonts w:ascii="宋体" w:hAnsi="宋体"/>
          <w:sz w:val="32"/>
          <w:szCs w:val="32"/>
        </w:rPr>
        <w:t>100</w:t>
      </w:r>
      <w:r>
        <w:rPr>
          <w:rFonts w:hint="eastAsia" w:ascii="宋体" w:hAnsi="宋体"/>
          <w:sz w:val="32"/>
          <w:szCs w:val="32"/>
        </w:rPr>
        <w:t>×报价分所占总分权重，评审过程中，不得去掉最后报价中的最高报价和最低报价。</w:t>
      </w:r>
    </w:p>
    <w:p w14:paraId="39754479">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4、</w:t>
      </w:r>
      <w:r>
        <w:rPr>
          <w:rFonts w:hint="eastAsia" w:ascii="宋体" w:hAnsi="宋体" w:cs="宋体"/>
          <w:kern w:val="0"/>
          <w:sz w:val="32"/>
          <w:szCs w:val="32"/>
        </w:rPr>
        <w:t>最终评审总得分＝技术资信评分+商务报价评分</w:t>
      </w:r>
    </w:p>
    <w:p w14:paraId="58BDA780">
      <w:pPr>
        <w:spacing w:line="360" w:lineRule="auto"/>
        <w:ind w:left="1326" w:leftChars="-28" w:hanging="1385" w:hangingChars="431"/>
        <w:rPr>
          <w:rFonts w:ascii="宋体" w:hAnsi="宋体" w:cs="宋体"/>
          <w:b/>
          <w:bCs/>
          <w:kern w:val="0"/>
          <w:sz w:val="32"/>
          <w:szCs w:val="32"/>
        </w:rPr>
      </w:pPr>
      <w:r>
        <w:rPr>
          <w:rFonts w:hint="eastAsia" w:ascii="宋体" w:hAnsi="宋体" w:cs="宋体"/>
          <w:b/>
          <w:bCs/>
          <w:kern w:val="0"/>
          <w:sz w:val="32"/>
          <w:szCs w:val="32"/>
          <w:lang w:val="en-US" w:eastAsia="zh-CN"/>
        </w:rPr>
        <w:t>三</w:t>
      </w:r>
      <w:r>
        <w:rPr>
          <w:rFonts w:hint="eastAsia" w:ascii="宋体" w:hAnsi="宋体" w:cs="宋体"/>
          <w:b/>
          <w:bCs/>
          <w:kern w:val="0"/>
          <w:sz w:val="32"/>
          <w:szCs w:val="32"/>
        </w:rPr>
        <w:t>、</w:t>
      </w:r>
      <w:r>
        <w:rPr>
          <w:rFonts w:hint="eastAsia" w:ascii="宋体" w:hAnsi="宋体" w:cs="宋体"/>
          <w:b/>
          <w:bCs/>
          <w:kern w:val="0"/>
          <w:sz w:val="32"/>
          <w:szCs w:val="32"/>
          <w:lang w:eastAsia="zh-CN"/>
        </w:rPr>
        <w:t>成交人</w:t>
      </w:r>
      <w:r>
        <w:rPr>
          <w:rFonts w:hint="eastAsia" w:ascii="宋体" w:hAnsi="宋体" w:cs="宋体"/>
          <w:b/>
          <w:bCs/>
          <w:kern w:val="0"/>
          <w:sz w:val="32"/>
          <w:szCs w:val="32"/>
        </w:rPr>
        <w:t>的确定</w:t>
      </w:r>
    </w:p>
    <w:p w14:paraId="7E1F134C">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1、</w:t>
      </w:r>
      <w:r>
        <w:rPr>
          <w:rFonts w:hint="eastAsia" w:ascii="宋体" w:hAnsi="宋体" w:cs="宋体"/>
          <w:kern w:val="0"/>
          <w:sz w:val="32"/>
          <w:szCs w:val="32"/>
        </w:rPr>
        <w:t>询比小组应当根据综合评分情况按照评审得分由高到低顺序推荐</w:t>
      </w:r>
      <w:r>
        <w:rPr>
          <w:rFonts w:hint="eastAsia" w:ascii="宋体" w:hAnsi="宋体" w:cs="宋体"/>
          <w:b/>
          <w:bCs/>
          <w:kern w:val="0"/>
          <w:sz w:val="32"/>
          <w:szCs w:val="32"/>
          <w:lang w:eastAsia="zh-CN"/>
        </w:rPr>
        <w:t>成交候选人</w:t>
      </w:r>
      <w:r>
        <w:rPr>
          <w:rFonts w:hint="eastAsia" w:ascii="宋体" w:hAnsi="宋体" w:cs="宋体"/>
          <w:kern w:val="0"/>
          <w:sz w:val="32"/>
          <w:szCs w:val="32"/>
        </w:rPr>
        <w:t>，并编写评审报告。评审得分相同的，按照报价由低到高的顺序推荐。评审得分且报价相同的，按照技术资信得分由高到低推荐。按照上述规则不能确定</w:t>
      </w:r>
      <w:r>
        <w:rPr>
          <w:rFonts w:hint="eastAsia" w:ascii="宋体" w:hAnsi="宋体" w:cs="宋体"/>
          <w:kern w:val="0"/>
          <w:sz w:val="32"/>
          <w:szCs w:val="32"/>
          <w:lang w:eastAsia="zh-CN"/>
        </w:rPr>
        <w:t>成交候选人</w:t>
      </w:r>
      <w:r>
        <w:rPr>
          <w:rFonts w:hint="eastAsia" w:ascii="宋体" w:hAnsi="宋体" w:cs="宋体"/>
          <w:kern w:val="0"/>
          <w:sz w:val="32"/>
          <w:szCs w:val="32"/>
        </w:rPr>
        <w:t>排序的，由</w:t>
      </w:r>
      <w:r>
        <w:rPr>
          <w:rFonts w:hint="eastAsia" w:ascii="宋体" w:hAnsi="宋体" w:cs="宋体"/>
          <w:kern w:val="0"/>
          <w:sz w:val="32"/>
          <w:szCs w:val="32"/>
          <w:lang w:eastAsia="zh-CN"/>
        </w:rPr>
        <w:t>采购人</w:t>
      </w:r>
      <w:r>
        <w:rPr>
          <w:rFonts w:hint="eastAsia" w:ascii="宋体" w:hAnsi="宋体" w:cs="宋体"/>
          <w:kern w:val="0"/>
          <w:sz w:val="32"/>
          <w:szCs w:val="32"/>
        </w:rPr>
        <w:t>代表现场随机摇号确定排序。</w:t>
      </w:r>
    </w:p>
    <w:p w14:paraId="19104381">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2、</w:t>
      </w:r>
      <w:r>
        <w:rPr>
          <w:rFonts w:hint="eastAsia" w:ascii="宋体" w:hAnsi="宋体" w:cs="宋体"/>
          <w:kern w:val="0"/>
          <w:sz w:val="32"/>
          <w:szCs w:val="32"/>
        </w:rPr>
        <w:t>询比小组成员对需要共同认定的事项存在争议的，应当按照少数服从多数的原则作出结论。持不同意见的询比小组成员应当在评审报告上签署不同意见及理由，否则视为同意评审报告。</w:t>
      </w:r>
    </w:p>
    <w:p w14:paraId="4DBB546A">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3、</w:t>
      </w:r>
      <w:bookmarkStart w:id="49" w:name="_GoBack"/>
      <w:bookmarkEnd w:id="49"/>
      <w:r>
        <w:rPr>
          <w:rFonts w:hint="eastAsia" w:ascii="宋体" w:hAnsi="宋体" w:cs="宋体"/>
          <w:kern w:val="0"/>
          <w:sz w:val="32"/>
          <w:szCs w:val="32"/>
        </w:rPr>
        <w:t>询比小组</w:t>
      </w:r>
      <w:r>
        <w:rPr>
          <w:rFonts w:ascii="宋体" w:hAnsi="宋体" w:cs="宋体"/>
          <w:kern w:val="0"/>
          <w:sz w:val="32"/>
          <w:szCs w:val="32"/>
        </w:rPr>
        <w:t>根据全体</w:t>
      </w:r>
      <w:r>
        <w:rPr>
          <w:rFonts w:hint="eastAsia" w:ascii="宋体" w:hAnsi="宋体" w:cs="宋体"/>
          <w:kern w:val="0"/>
          <w:sz w:val="32"/>
          <w:szCs w:val="32"/>
        </w:rPr>
        <w:t>小组</w:t>
      </w:r>
      <w:r>
        <w:rPr>
          <w:rFonts w:ascii="宋体" w:hAnsi="宋体" w:cs="宋体"/>
          <w:kern w:val="0"/>
          <w:sz w:val="32"/>
          <w:szCs w:val="32"/>
        </w:rPr>
        <w:t>成员签字的原始评</w:t>
      </w:r>
      <w:r>
        <w:rPr>
          <w:rFonts w:hint="eastAsia" w:ascii="宋体" w:hAnsi="宋体" w:cs="宋体"/>
          <w:kern w:val="0"/>
          <w:sz w:val="32"/>
          <w:szCs w:val="32"/>
        </w:rPr>
        <w:t>审</w:t>
      </w:r>
      <w:r>
        <w:rPr>
          <w:rFonts w:ascii="宋体" w:hAnsi="宋体" w:cs="宋体"/>
          <w:kern w:val="0"/>
          <w:sz w:val="32"/>
          <w:szCs w:val="32"/>
        </w:rPr>
        <w:t>记录和评</w:t>
      </w:r>
      <w:r>
        <w:rPr>
          <w:rFonts w:hint="eastAsia" w:ascii="宋体" w:hAnsi="宋体" w:cs="宋体"/>
          <w:kern w:val="0"/>
          <w:sz w:val="32"/>
          <w:szCs w:val="32"/>
        </w:rPr>
        <w:t>审</w:t>
      </w:r>
      <w:r>
        <w:rPr>
          <w:rFonts w:ascii="宋体" w:hAnsi="宋体" w:cs="宋体"/>
          <w:kern w:val="0"/>
          <w:sz w:val="32"/>
          <w:szCs w:val="32"/>
        </w:rPr>
        <w:t>结果编写评</w:t>
      </w:r>
      <w:r>
        <w:rPr>
          <w:rFonts w:hint="eastAsia" w:ascii="宋体" w:hAnsi="宋体" w:cs="宋体"/>
          <w:kern w:val="0"/>
          <w:sz w:val="32"/>
          <w:szCs w:val="32"/>
        </w:rPr>
        <w:t>审</w:t>
      </w:r>
      <w:r>
        <w:rPr>
          <w:rFonts w:ascii="宋体" w:hAnsi="宋体" w:cs="宋体"/>
          <w:kern w:val="0"/>
          <w:sz w:val="32"/>
          <w:szCs w:val="32"/>
        </w:rPr>
        <w:t>报告。</w:t>
      </w:r>
    </w:p>
    <w:p w14:paraId="1684DA52">
      <w:pPr>
        <w:spacing w:line="560" w:lineRule="exact"/>
        <w:ind w:left="281" w:leftChars="134" w:firstLine="480" w:firstLineChars="150"/>
        <w:rPr>
          <w:rFonts w:ascii="仿宋_GB2312" w:hAnsi="仿宋_GB2312" w:eastAsia="仿宋_GB2312" w:cs="仿宋_GB2312"/>
          <w:sz w:val="32"/>
          <w:szCs w:val="32"/>
        </w:rPr>
      </w:pPr>
    </w:p>
    <w:p w14:paraId="673219D2">
      <w:pPr>
        <w:tabs>
          <w:tab w:val="left" w:pos="851"/>
        </w:tabs>
        <w:spacing w:line="360" w:lineRule="auto"/>
        <w:ind w:firstLine="640" w:firstLineChars="200"/>
        <w:jc w:val="left"/>
        <w:rPr>
          <w:rFonts w:ascii="宋体" w:hAnsi="宋体" w:cs="宋体"/>
          <w:kern w:val="0"/>
          <w:sz w:val="32"/>
          <w:szCs w:val="32"/>
        </w:rPr>
      </w:pPr>
    </w:p>
    <w:p w14:paraId="7ABF0E8C">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本项目询比评审表</w:t>
      </w:r>
    </w:p>
    <w:tbl>
      <w:tblPr>
        <w:tblStyle w:val="2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53F9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40C5647C">
            <w:pPr>
              <w:adjustRightInd w:val="0"/>
              <w:snapToGrid w:val="0"/>
              <w:ind w:right="-10"/>
              <w:jc w:val="center"/>
              <w:rPr>
                <w:rFonts w:ascii="宋体" w:hAnsi="宋体"/>
                <w:b/>
                <w:bCs/>
                <w:sz w:val="30"/>
                <w:szCs w:val="30"/>
              </w:rPr>
            </w:pPr>
            <w:r>
              <w:rPr>
                <w:rFonts w:hint="eastAsia" w:ascii="宋体" w:hAnsi="宋体"/>
                <w:b/>
                <w:bCs/>
                <w:sz w:val="30"/>
                <w:szCs w:val="30"/>
              </w:rPr>
              <w:t>一、符合性评审表</w:t>
            </w:r>
          </w:p>
        </w:tc>
      </w:tr>
      <w:tr w14:paraId="40E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097AF5BA">
            <w:pPr>
              <w:adjustRightInd w:val="0"/>
              <w:snapToGrid w:val="0"/>
              <w:ind w:right="-10"/>
              <w:jc w:val="center"/>
              <w:rPr>
                <w:rFonts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57733103">
            <w:pPr>
              <w:adjustRightInd w:val="0"/>
              <w:snapToGrid w:val="0"/>
              <w:ind w:right="-10"/>
              <w:jc w:val="left"/>
              <w:rPr>
                <w:rFonts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38E02F8E">
            <w:pPr>
              <w:adjustRightInd w:val="0"/>
              <w:snapToGrid w:val="0"/>
              <w:ind w:right="-10"/>
              <w:jc w:val="center"/>
              <w:rPr>
                <w:rFonts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04925CB6">
            <w:pPr>
              <w:adjustRightInd w:val="0"/>
              <w:snapToGrid w:val="0"/>
              <w:ind w:right="-10"/>
              <w:jc w:val="center"/>
              <w:rPr>
                <w:rFonts w:ascii="宋体" w:hAnsi="宋体"/>
                <w:sz w:val="30"/>
                <w:szCs w:val="30"/>
              </w:rPr>
            </w:pPr>
            <w:r>
              <w:rPr>
                <w:rFonts w:hint="eastAsia" w:ascii="宋体" w:hAnsi="宋体"/>
                <w:sz w:val="30"/>
                <w:szCs w:val="30"/>
              </w:rPr>
              <w:t>是否通过</w:t>
            </w:r>
          </w:p>
        </w:tc>
      </w:tr>
      <w:tr w14:paraId="0F71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68BBEB65">
            <w:pPr>
              <w:adjustRightInd w:val="0"/>
              <w:snapToGrid w:val="0"/>
              <w:ind w:right="-10"/>
              <w:jc w:val="center"/>
              <w:rPr>
                <w:rFonts w:ascii="宋体" w:hAnsi="宋体"/>
                <w:sz w:val="24"/>
                <w:szCs w:val="24"/>
              </w:rPr>
            </w:pPr>
            <w:r>
              <w:rPr>
                <w:rFonts w:hint="eastAsia" w:ascii="宋体" w:hAnsi="宋体"/>
                <w:sz w:val="24"/>
                <w:szCs w:val="24"/>
              </w:rPr>
              <w:t>1</w:t>
            </w:r>
          </w:p>
        </w:tc>
        <w:tc>
          <w:tcPr>
            <w:tcW w:w="2387" w:type="dxa"/>
            <w:vAlign w:val="center"/>
          </w:tcPr>
          <w:p w14:paraId="3A4EEC5E">
            <w:pPr>
              <w:ind w:right="-10"/>
              <w:jc w:val="left"/>
              <w:rPr>
                <w:rFonts w:ascii="宋体" w:hAnsi="宋体"/>
                <w:sz w:val="24"/>
                <w:szCs w:val="24"/>
              </w:rPr>
            </w:pPr>
            <w:r>
              <w:rPr>
                <w:rFonts w:hint="eastAsia" w:ascii="宋体" w:hAnsi="宋体"/>
                <w:sz w:val="24"/>
                <w:szCs w:val="24"/>
              </w:rPr>
              <w:t>营业执照</w:t>
            </w:r>
          </w:p>
        </w:tc>
        <w:tc>
          <w:tcPr>
            <w:tcW w:w="4913" w:type="dxa"/>
            <w:vAlign w:val="center"/>
          </w:tcPr>
          <w:p w14:paraId="6BCE2E3B">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37120D26">
            <w:pPr>
              <w:adjustRightInd w:val="0"/>
              <w:snapToGrid w:val="0"/>
              <w:ind w:right="-10"/>
              <w:jc w:val="center"/>
              <w:rPr>
                <w:rFonts w:ascii="宋体" w:hAnsi="宋体"/>
                <w:sz w:val="30"/>
                <w:szCs w:val="30"/>
              </w:rPr>
            </w:pPr>
          </w:p>
        </w:tc>
      </w:tr>
      <w:tr w14:paraId="449F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678BC910">
            <w:pPr>
              <w:adjustRightInd w:val="0"/>
              <w:snapToGrid w:val="0"/>
              <w:ind w:right="-10"/>
              <w:jc w:val="center"/>
              <w:rPr>
                <w:rFonts w:ascii="宋体" w:hAnsi="宋体"/>
                <w:sz w:val="24"/>
                <w:szCs w:val="24"/>
              </w:rPr>
            </w:pPr>
            <w:r>
              <w:rPr>
                <w:rFonts w:hint="eastAsia" w:ascii="宋体" w:hAnsi="宋体"/>
                <w:sz w:val="24"/>
                <w:szCs w:val="24"/>
              </w:rPr>
              <w:t>2</w:t>
            </w:r>
          </w:p>
        </w:tc>
        <w:tc>
          <w:tcPr>
            <w:tcW w:w="2387" w:type="dxa"/>
            <w:vAlign w:val="center"/>
          </w:tcPr>
          <w:p w14:paraId="55A1EE19">
            <w:pPr>
              <w:ind w:right="-10"/>
              <w:jc w:val="left"/>
              <w:rPr>
                <w:rFonts w:ascii="宋体" w:hAnsi="宋体"/>
                <w:sz w:val="24"/>
                <w:szCs w:val="24"/>
              </w:rPr>
            </w:pPr>
            <w:r>
              <w:rPr>
                <w:rFonts w:hint="eastAsia" w:ascii="宋体" w:hAnsi="宋体"/>
                <w:sz w:val="24"/>
                <w:szCs w:val="24"/>
              </w:rPr>
              <w:t>资格要求</w:t>
            </w:r>
          </w:p>
        </w:tc>
        <w:tc>
          <w:tcPr>
            <w:tcW w:w="4913" w:type="dxa"/>
            <w:vAlign w:val="center"/>
          </w:tcPr>
          <w:p w14:paraId="3E089303">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1F36CE93">
            <w:pPr>
              <w:adjustRightInd w:val="0"/>
              <w:snapToGrid w:val="0"/>
              <w:ind w:right="-10"/>
              <w:jc w:val="center"/>
              <w:rPr>
                <w:rFonts w:ascii="宋体" w:hAnsi="宋体"/>
                <w:sz w:val="30"/>
                <w:szCs w:val="30"/>
              </w:rPr>
            </w:pPr>
          </w:p>
        </w:tc>
      </w:tr>
      <w:tr w14:paraId="6151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76188743">
            <w:pPr>
              <w:adjustRightInd w:val="0"/>
              <w:snapToGrid w:val="0"/>
              <w:ind w:right="-10"/>
              <w:jc w:val="center"/>
              <w:rPr>
                <w:rFonts w:ascii="宋体" w:hAnsi="宋体"/>
                <w:sz w:val="24"/>
                <w:szCs w:val="24"/>
              </w:rPr>
            </w:pPr>
            <w:r>
              <w:rPr>
                <w:rFonts w:hint="eastAsia" w:ascii="宋体" w:hAnsi="宋体"/>
                <w:sz w:val="24"/>
                <w:szCs w:val="24"/>
              </w:rPr>
              <w:t>3</w:t>
            </w:r>
          </w:p>
        </w:tc>
        <w:tc>
          <w:tcPr>
            <w:tcW w:w="2387" w:type="dxa"/>
            <w:vAlign w:val="center"/>
          </w:tcPr>
          <w:p w14:paraId="146C0125">
            <w:pPr>
              <w:ind w:right="-10"/>
              <w:jc w:val="left"/>
              <w:rPr>
                <w:rFonts w:ascii="宋体" w:hAnsi="宋体"/>
                <w:sz w:val="24"/>
                <w:szCs w:val="24"/>
              </w:rPr>
            </w:pPr>
            <w:r>
              <w:rPr>
                <w:rFonts w:hint="eastAsia" w:ascii="宋体" w:hAnsi="宋体"/>
                <w:sz w:val="24"/>
                <w:szCs w:val="24"/>
              </w:rPr>
              <w:t>服务期</w:t>
            </w:r>
          </w:p>
        </w:tc>
        <w:tc>
          <w:tcPr>
            <w:tcW w:w="4913" w:type="dxa"/>
            <w:vAlign w:val="center"/>
          </w:tcPr>
          <w:p w14:paraId="44C3C000">
            <w:pPr>
              <w:ind w:right="-10"/>
              <w:jc w:val="center"/>
              <w:rPr>
                <w:rFonts w:ascii="宋体" w:hAnsi="宋体"/>
                <w:sz w:val="24"/>
                <w:szCs w:val="24"/>
                <w:highlight w:val="green"/>
              </w:rPr>
            </w:pPr>
            <w:r>
              <w:rPr>
                <w:rFonts w:hint="eastAsia" w:ascii="宋体" w:hAnsi="宋体"/>
                <w:sz w:val="24"/>
                <w:szCs w:val="24"/>
              </w:rPr>
              <w:t>符合询比文件要求</w:t>
            </w:r>
          </w:p>
        </w:tc>
        <w:tc>
          <w:tcPr>
            <w:tcW w:w="1220" w:type="dxa"/>
            <w:vAlign w:val="center"/>
          </w:tcPr>
          <w:p w14:paraId="1CD17C08">
            <w:pPr>
              <w:adjustRightInd w:val="0"/>
              <w:snapToGrid w:val="0"/>
              <w:ind w:right="-10"/>
              <w:jc w:val="center"/>
              <w:rPr>
                <w:rFonts w:ascii="宋体" w:hAnsi="宋体"/>
                <w:sz w:val="30"/>
                <w:szCs w:val="30"/>
              </w:rPr>
            </w:pPr>
          </w:p>
        </w:tc>
      </w:tr>
      <w:tr w14:paraId="51A8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2F91E3DF">
            <w:pPr>
              <w:adjustRightInd w:val="0"/>
              <w:snapToGrid w:val="0"/>
              <w:ind w:right="-10"/>
              <w:jc w:val="center"/>
              <w:rPr>
                <w:rFonts w:ascii="宋体" w:hAnsi="宋体"/>
                <w:sz w:val="24"/>
                <w:szCs w:val="24"/>
              </w:rPr>
            </w:pPr>
            <w:r>
              <w:rPr>
                <w:rFonts w:hint="eastAsia" w:ascii="宋体" w:hAnsi="宋体"/>
                <w:sz w:val="24"/>
                <w:szCs w:val="24"/>
              </w:rPr>
              <w:t>4</w:t>
            </w:r>
          </w:p>
        </w:tc>
        <w:tc>
          <w:tcPr>
            <w:tcW w:w="2387" w:type="dxa"/>
            <w:vAlign w:val="center"/>
          </w:tcPr>
          <w:p w14:paraId="4E0E7139">
            <w:pPr>
              <w:ind w:right="-10"/>
              <w:jc w:val="left"/>
              <w:rPr>
                <w:rFonts w:ascii="宋体" w:hAnsi="宋体"/>
                <w:sz w:val="24"/>
                <w:szCs w:val="24"/>
              </w:rPr>
            </w:pPr>
            <w:r>
              <w:rPr>
                <w:rFonts w:hint="eastAsia" w:ascii="宋体" w:hAnsi="宋体"/>
                <w:sz w:val="24"/>
                <w:szCs w:val="24"/>
              </w:rPr>
              <w:t>付款方式响应</w:t>
            </w:r>
          </w:p>
        </w:tc>
        <w:tc>
          <w:tcPr>
            <w:tcW w:w="4913" w:type="dxa"/>
            <w:vAlign w:val="center"/>
          </w:tcPr>
          <w:p w14:paraId="10CF0A3F">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0D69629B">
            <w:pPr>
              <w:adjustRightInd w:val="0"/>
              <w:snapToGrid w:val="0"/>
              <w:ind w:right="-10"/>
              <w:jc w:val="center"/>
              <w:rPr>
                <w:rFonts w:ascii="宋体" w:hAnsi="宋体"/>
                <w:sz w:val="30"/>
                <w:szCs w:val="30"/>
                <w:highlight w:val="green"/>
              </w:rPr>
            </w:pPr>
          </w:p>
        </w:tc>
      </w:tr>
      <w:tr w14:paraId="4BB6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2BA52CAC">
            <w:pPr>
              <w:adjustRightInd w:val="0"/>
              <w:snapToGrid w:val="0"/>
              <w:ind w:right="-10"/>
              <w:jc w:val="center"/>
              <w:rPr>
                <w:rFonts w:ascii="宋体" w:hAnsi="宋体"/>
                <w:sz w:val="24"/>
                <w:szCs w:val="24"/>
              </w:rPr>
            </w:pPr>
            <w:r>
              <w:rPr>
                <w:rFonts w:hint="eastAsia" w:ascii="宋体" w:hAnsi="宋体"/>
                <w:sz w:val="24"/>
                <w:szCs w:val="24"/>
              </w:rPr>
              <w:t>5</w:t>
            </w:r>
          </w:p>
        </w:tc>
        <w:tc>
          <w:tcPr>
            <w:tcW w:w="2387" w:type="dxa"/>
            <w:vAlign w:val="center"/>
          </w:tcPr>
          <w:p w14:paraId="619C5BCA">
            <w:pPr>
              <w:ind w:right="-10"/>
              <w:jc w:val="left"/>
              <w:rPr>
                <w:rFonts w:ascii="宋体" w:hAnsi="宋体"/>
                <w:sz w:val="24"/>
                <w:szCs w:val="24"/>
              </w:rPr>
            </w:pPr>
            <w:r>
              <w:rPr>
                <w:rFonts w:hint="eastAsia" w:ascii="宋体" w:hAnsi="宋体"/>
                <w:sz w:val="24"/>
                <w:szCs w:val="24"/>
              </w:rPr>
              <w:t>响应文件签字盖章</w:t>
            </w:r>
          </w:p>
        </w:tc>
        <w:tc>
          <w:tcPr>
            <w:tcW w:w="4913" w:type="dxa"/>
            <w:vAlign w:val="center"/>
          </w:tcPr>
          <w:p w14:paraId="7D321DF9">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744A1A8C">
            <w:pPr>
              <w:jc w:val="center"/>
              <w:rPr>
                <w:rFonts w:ascii="宋体" w:hAnsi="宋体"/>
                <w:color w:val="FF0000"/>
                <w:sz w:val="30"/>
                <w:szCs w:val="30"/>
              </w:rPr>
            </w:pPr>
          </w:p>
        </w:tc>
      </w:tr>
      <w:tr w14:paraId="4250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BF90455">
            <w:pPr>
              <w:adjustRightInd w:val="0"/>
              <w:snapToGrid w:val="0"/>
              <w:ind w:right="-10"/>
              <w:jc w:val="center"/>
              <w:rPr>
                <w:rFonts w:ascii="宋体" w:hAnsi="宋体"/>
                <w:sz w:val="24"/>
                <w:szCs w:val="24"/>
                <w:highlight w:val="green"/>
              </w:rPr>
            </w:pPr>
            <w:r>
              <w:rPr>
                <w:rFonts w:hint="eastAsia" w:ascii="宋体" w:hAnsi="宋体"/>
                <w:sz w:val="24"/>
                <w:szCs w:val="24"/>
              </w:rPr>
              <w:t>6</w:t>
            </w:r>
          </w:p>
        </w:tc>
        <w:tc>
          <w:tcPr>
            <w:tcW w:w="2387" w:type="dxa"/>
            <w:vAlign w:val="center"/>
          </w:tcPr>
          <w:p w14:paraId="5377330E">
            <w:pPr>
              <w:ind w:right="-10"/>
              <w:jc w:val="left"/>
              <w:rPr>
                <w:rFonts w:ascii="宋体" w:hAnsi="宋体"/>
                <w:sz w:val="24"/>
                <w:szCs w:val="24"/>
              </w:rPr>
            </w:pPr>
            <w:r>
              <w:rPr>
                <w:rFonts w:hint="eastAsia" w:ascii="宋体" w:hAnsi="宋体"/>
                <w:sz w:val="24"/>
                <w:szCs w:val="24"/>
              </w:rPr>
              <w:t>承诺书</w:t>
            </w:r>
          </w:p>
        </w:tc>
        <w:tc>
          <w:tcPr>
            <w:tcW w:w="4913" w:type="dxa"/>
            <w:vAlign w:val="center"/>
          </w:tcPr>
          <w:p w14:paraId="67D96CEB">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62932A48">
            <w:pPr>
              <w:adjustRightInd w:val="0"/>
              <w:snapToGrid w:val="0"/>
              <w:ind w:right="-10"/>
              <w:jc w:val="center"/>
              <w:rPr>
                <w:rFonts w:ascii="宋体" w:hAnsi="宋体"/>
                <w:sz w:val="30"/>
                <w:szCs w:val="30"/>
              </w:rPr>
            </w:pPr>
          </w:p>
        </w:tc>
      </w:tr>
      <w:tr w14:paraId="4634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15229B59">
            <w:pPr>
              <w:ind w:right="-10"/>
              <w:jc w:val="center"/>
              <w:rPr>
                <w:rFonts w:ascii="宋体" w:hAnsi="宋体"/>
                <w:color w:val="000000"/>
                <w:sz w:val="24"/>
                <w:szCs w:val="24"/>
              </w:rPr>
            </w:pPr>
            <w:r>
              <w:rPr>
                <w:rFonts w:hint="eastAsia" w:ascii="宋体" w:hAnsi="宋体"/>
                <w:sz w:val="24"/>
                <w:szCs w:val="24"/>
              </w:rPr>
              <w:t>7</w:t>
            </w:r>
          </w:p>
        </w:tc>
        <w:tc>
          <w:tcPr>
            <w:tcW w:w="2387" w:type="dxa"/>
            <w:vAlign w:val="center"/>
          </w:tcPr>
          <w:p w14:paraId="7E3EB824">
            <w:pPr>
              <w:ind w:right="-10"/>
              <w:jc w:val="left"/>
              <w:rPr>
                <w:rFonts w:ascii="宋体" w:hAnsi="宋体"/>
                <w:bCs/>
                <w:sz w:val="24"/>
                <w:szCs w:val="24"/>
              </w:rPr>
            </w:pPr>
            <w:r>
              <w:rPr>
                <w:rFonts w:hint="eastAsia" w:ascii="宋体" w:hAnsi="宋体"/>
                <w:sz w:val="24"/>
                <w:szCs w:val="24"/>
              </w:rPr>
              <w:t>其他要求</w:t>
            </w:r>
          </w:p>
        </w:tc>
        <w:tc>
          <w:tcPr>
            <w:tcW w:w="4913" w:type="dxa"/>
            <w:vAlign w:val="center"/>
          </w:tcPr>
          <w:p w14:paraId="30E93705">
            <w:pPr>
              <w:ind w:right="-10"/>
              <w:jc w:val="center"/>
              <w:rPr>
                <w:rFonts w:ascii="宋体" w:hAnsi="宋体"/>
                <w:bCs/>
                <w:sz w:val="24"/>
                <w:szCs w:val="24"/>
              </w:rPr>
            </w:pPr>
            <w:r>
              <w:rPr>
                <w:rFonts w:hint="eastAsia" w:ascii="宋体" w:hAnsi="宋体"/>
                <w:sz w:val="24"/>
                <w:szCs w:val="24"/>
              </w:rPr>
              <w:t>符合询比文件要求</w:t>
            </w:r>
          </w:p>
        </w:tc>
        <w:tc>
          <w:tcPr>
            <w:tcW w:w="1220" w:type="dxa"/>
            <w:vAlign w:val="center"/>
          </w:tcPr>
          <w:p w14:paraId="14862A10">
            <w:pPr>
              <w:adjustRightInd w:val="0"/>
              <w:snapToGrid w:val="0"/>
              <w:ind w:right="-10"/>
              <w:jc w:val="center"/>
              <w:rPr>
                <w:rFonts w:ascii="宋体" w:hAnsi="宋体"/>
                <w:sz w:val="30"/>
                <w:szCs w:val="30"/>
                <w:highlight w:val="green"/>
              </w:rPr>
            </w:pPr>
          </w:p>
        </w:tc>
      </w:tr>
      <w:tr w14:paraId="52C1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77484E69">
            <w:pPr>
              <w:adjustRightInd w:val="0"/>
              <w:snapToGrid w:val="0"/>
              <w:ind w:right="-10"/>
              <w:rPr>
                <w:rFonts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759B1775">
      <w:pPr>
        <w:spacing w:line="560" w:lineRule="exact"/>
        <w:jc w:val="center"/>
        <w:outlineLvl w:val="0"/>
        <w:rPr>
          <w:rFonts w:hint="eastAsia" w:ascii="黑体" w:hAnsi="黑体" w:eastAsia="黑体" w:cs="黑体"/>
          <w:bCs/>
          <w:sz w:val="44"/>
          <w:szCs w:val="44"/>
        </w:rPr>
      </w:pPr>
      <w:bookmarkStart w:id="10" w:name="_Toc9606"/>
    </w:p>
    <w:p w14:paraId="5C46C56A">
      <w:pPr>
        <w:spacing w:line="560" w:lineRule="exact"/>
        <w:jc w:val="center"/>
        <w:outlineLvl w:val="0"/>
        <w:rPr>
          <w:rFonts w:hint="eastAsia" w:ascii="黑体" w:hAnsi="黑体" w:eastAsia="黑体" w:cs="黑体"/>
          <w:bCs/>
          <w:sz w:val="44"/>
          <w:szCs w:val="44"/>
        </w:rPr>
      </w:pPr>
    </w:p>
    <w:p w14:paraId="3B5AC8C8">
      <w:pPr>
        <w:spacing w:line="560" w:lineRule="exact"/>
        <w:jc w:val="center"/>
        <w:outlineLvl w:val="0"/>
        <w:rPr>
          <w:rFonts w:hint="eastAsia" w:ascii="黑体" w:hAnsi="黑体" w:eastAsia="黑体" w:cs="黑体"/>
          <w:bCs/>
          <w:sz w:val="44"/>
          <w:szCs w:val="44"/>
        </w:rPr>
      </w:pPr>
    </w:p>
    <w:p w14:paraId="509D0284">
      <w:pPr>
        <w:pStyle w:val="8"/>
        <w:rPr>
          <w:rFonts w:hint="eastAsia" w:ascii="黑体" w:hAnsi="黑体" w:eastAsia="黑体" w:cs="黑体"/>
          <w:bCs/>
          <w:sz w:val="44"/>
          <w:szCs w:val="44"/>
        </w:rPr>
      </w:pPr>
    </w:p>
    <w:p w14:paraId="3A9E3B14">
      <w:pPr>
        <w:pStyle w:val="9"/>
        <w:rPr>
          <w:rFonts w:hint="eastAsia" w:ascii="黑体" w:hAnsi="黑体" w:eastAsia="黑体" w:cs="黑体"/>
          <w:bCs/>
          <w:sz w:val="44"/>
          <w:szCs w:val="44"/>
        </w:rPr>
      </w:pPr>
    </w:p>
    <w:p w14:paraId="2EB7E642">
      <w:pPr>
        <w:pStyle w:val="10"/>
        <w:rPr>
          <w:rFonts w:hint="eastAsia" w:ascii="黑体" w:hAnsi="黑体" w:eastAsia="黑体" w:cs="黑体"/>
          <w:bCs/>
          <w:sz w:val="44"/>
          <w:szCs w:val="44"/>
        </w:rPr>
      </w:pPr>
    </w:p>
    <w:p w14:paraId="5BD6AF08">
      <w:pPr>
        <w:rPr>
          <w:rFonts w:hint="eastAsia" w:ascii="黑体" w:hAnsi="黑体" w:eastAsia="黑体" w:cs="黑体"/>
          <w:bCs/>
          <w:sz w:val="44"/>
          <w:szCs w:val="44"/>
        </w:rPr>
      </w:pPr>
    </w:p>
    <w:p w14:paraId="1CE6E8B3">
      <w:pPr>
        <w:pStyle w:val="8"/>
        <w:rPr>
          <w:rFonts w:hint="eastAsia"/>
        </w:rPr>
      </w:pPr>
    </w:p>
    <w:p w14:paraId="12644746">
      <w:pPr>
        <w:numPr>
          <w:ilvl w:val="0"/>
          <w:numId w:val="8"/>
        </w:numPr>
        <w:adjustRightInd w:val="0"/>
        <w:snapToGrid w:val="0"/>
        <w:ind w:right="-10"/>
        <w:jc w:val="center"/>
        <w:rPr>
          <w:rFonts w:hint="default" w:ascii="宋体" w:hAnsi="宋体" w:cs="Times New Roman"/>
          <w:b/>
          <w:bCs/>
          <w:sz w:val="30"/>
          <w:szCs w:val="30"/>
        </w:rPr>
      </w:pPr>
      <w:r>
        <w:rPr>
          <w:rFonts w:hint="default" w:ascii="宋体" w:hAnsi="宋体" w:cs="Times New Roman"/>
          <w:b/>
          <w:bCs/>
          <w:sz w:val="30"/>
          <w:szCs w:val="30"/>
        </w:rPr>
        <w:t>、详细评审（满分100分）</w:t>
      </w:r>
    </w:p>
    <w:p w14:paraId="711449C3">
      <w:pPr>
        <w:tabs>
          <w:tab w:val="left" w:pos="851"/>
        </w:tabs>
        <w:spacing w:line="360" w:lineRule="auto"/>
        <w:ind w:firstLine="640" w:firstLineChars="200"/>
        <w:jc w:val="left"/>
        <w:rPr>
          <w:rFonts w:hint="eastAsia" w:ascii="宋体" w:hAnsi="宋体" w:eastAsia="宋体" w:cs="宋体"/>
          <w:kern w:val="0"/>
          <w:sz w:val="32"/>
          <w:szCs w:val="32"/>
        </w:rPr>
      </w:pPr>
      <w:r>
        <w:rPr>
          <w:rFonts w:hint="eastAsia" w:ascii="宋体" w:hAnsi="宋体" w:cs="宋体"/>
          <w:kern w:val="0"/>
          <w:sz w:val="32"/>
          <w:szCs w:val="32"/>
          <w:lang w:val="en-US" w:eastAsia="zh-CN"/>
        </w:rPr>
        <w:t>一、</w:t>
      </w:r>
      <w:r>
        <w:rPr>
          <w:rFonts w:hint="eastAsia" w:ascii="宋体" w:hAnsi="宋体" w:eastAsia="宋体" w:cs="宋体"/>
          <w:kern w:val="0"/>
          <w:sz w:val="32"/>
          <w:szCs w:val="32"/>
        </w:rPr>
        <w:t>投标总价得分（</w:t>
      </w:r>
      <w:r>
        <w:rPr>
          <w:rFonts w:hint="eastAsia" w:ascii="宋体" w:hAnsi="宋体" w:cs="宋体"/>
          <w:kern w:val="0"/>
          <w:sz w:val="32"/>
          <w:szCs w:val="32"/>
          <w:lang w:val="en-US" w:eastAsia="zh-CN"/>
        </w:rPr>
        <w:t>30</w:t>
      </w:r>
      <w:r>
        <w:rPr>
          <w:rFonts w:hint="eastAsia" w:ascii="宋体" w:hAnsi="宋体" w:eastAsia="宋体" w:cs="宋体"/>
          <w:kern w:val="0"/>
          <w:sz w:val="32"/>
          <w:szCs w:val="32"/>
        </w:rPr>
        <w:t>分）</w:t>
      </w:r>
    </w:p>
    <w:p w14:paraId="0B9C985E">
      <w:pPr>
        <w:tabs>
          <w:tab w:val="left" w:pos="851"/>
        </w:tabs>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本项目设定控制价，投标报价在控制价范围以内的为有效报价，参与评审。</w:t>
      </w:r>
    </w:p>
    <w:p w14:paraId="798D91CD">
      <w:pPr>
        <w:tabs>
          <w:tab w:val="left" w:pos="851"/>
        </w:tabs>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价格分统一采用低价优先法计算，即满足投标文件要求且报价最低的供应商的价格为投标基准价；所有响应单位的投标报价与基准价相比，等于基准价的得满分</w:t>
      </w:r>
      <w:r>
        <w:rPr>
          <w:rFonts w:hint="eastAsia" w:ascii="宋体" w:hAnsi="宋体" w:cs="宋体"/>
          <w:kern w:val="0"/>
          <w:sz w:val="32"/>
          <w:szCs w:val="32"/>
          <w:lang w:val="en-US" w:eastAsia="zh-CN"/>
        </w:rPr>
        <w:t>30</w:t>
      </w:r>
      <w:r>
        <w:rPr>
          <w:rFonts w:hint="eastAsia" w:ascii="宋体" w:hAnsi="宋体" w:eastAsia="宋体" w:cs="宋体"/>
          <w:kern w:val="0"/>
          <w:sz w:val="32"/>
          <w:szCs w:val="32"/>
          <w:lang w:val="en-US" w:eastAsia="zh-CN"/>
        </w:rPr>
        <w:t>分</w:t>
      </w:r>
      <w:r>
        <w:rPr>
          <w:rFonts w:hint="eastAsia" w:ascii="宋体" w:hAnsi="宋体" w:eastAsia="宋体" w:cs="宋体"/>
          <w:kern w:val="0"/>
          <w:sz w:val="32"/>
          <w:szCs w:val="32"/>
        </w:rPr>
        <w:t>，其他合格供应商的价格分统一按照下列公式计算：</w:t>
      </w:r>
    </w:p>
    <w:p w14:paraId="1C32ABFC">
      <w:pPr>
        <w:tabs>
          <w:tab w:val="left" w:pos="851"/>
        </w:tabs>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投标报价得分=（基准价/投标报价）×</w:t>
      </w:r>
      <w:r>
        <w:rPr>
          <w:rFonts w:hint="eastAsia" w:ascii="宋体" w:hAnsi="宋体" w:cs="宋体"/>
          <w:kern w:val="0"/>
          <w:sz w:val="32"/>
          <w:szCs w:val="32"/>
          <w:lang w:val="en-US" w:eastAsia="zh-CN"/>
        </w:rPr>
        <w:t>价格权重</w:t>
      </w:r>
      <w:r>
        <w:rPr>
          <w:rFonts w:hint="eastAsia" w:ascii="宋体" w:hAnsi="宋体" w:eastAsia="宋体" w:cs="宋体"/>
          <w:kern w:val="0"/>
          <w:sz w:val="32"/>
          <w:szCs w:val="32"/>
        </w:rPr>
        <w:t>×100</w:t>
      </w:r>
    </w:p>
    <w:p w14:paraId="3556B9F1">
      <w:pPr>
        <w:tabs>
          <w:tab w:val="left" w:pos="851"/>
        </w:tabs>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注：在报价评审过程中，</w:t>
      </w:r>
      <w:r>
        <w:rPr>
          <w:rFonts w:hint="eastAsia" w:ascii="宋体" w:hAnsi="宋体" w:cs="宋体"/>
          <w:kern w:val="0"/>
          <w:sz w:val="32"/>
          <w:szCs w:val="32"/>
          <w:lang w:val="en-US" w:eastAsia="zh-CN"/>
        </w:rPr>
        <w:t>询比小组</w:t>
      </w:r>
      <w:r>
        <w:rPr>
          <w:rFonts w:hint="eastAsia" w:ascii="宋体" w:hAnsi="宋体" w:eastAsia="宋体" w:cs="宋体"/>
          <w:kern w:val="0"/>
          <w:sz w:val="32"/>
          <w:szCs w:val="32"/>
        </w:rPr>
        <w:t>发现供应商的报价明显不合理，有可能影响项目质量和不能诚信履约的，</w:t>
      </w:r>
      <w:r>
        <w:rPr>
          <w:rFonts w:hint="eastAsia" w:ascii="宋体" w:hAnsi="宋体" w:cs="宋体"/>
          <w:kern w:val="0"/>
          <w:sz w:val="32"/>
          <w:szCs w:val="32"/>
          <w:lang w:val="en-US" w:eastAsia="zh-CN"/>
        </w:rPr>
        <w:t>询比小组</w:t>
      </w:r>
      <w:r>
        <w:rPr>
          <w:rFonts w:hint="eastAsia" w:ascii="宋体" w:hAnsi="宋体" w:eastAsia="宋体" w:cs="宋体"/>
          <w:kern w:val="0"/>
          <w:sz w:val="32"/>
          <w:szCs w:val="32"/>
        </w:rPr>
        <w:t>可以认定该报价为无效报价且不参与评标基准价的计算。</w:t>
      </w:r>
    </w:p>
    <w:p w14:paraId="5ECFAF0C">
      <w:pPr>
        <w:tabs>
          <w:tab w:val="left" w:pos="851"/>
        </w:tabs>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二、</w:t>
      </w:r>
      <w:r>
        <w:rPr>
          <w:rFonts w:hint="eastAsia" w:ascii="宋体" w:hAnsi="宋体" w:eastAsia="宋体" w:cs="宋体"/>
          <w:kern w:val="0"/>
          <w:sz w:val="32"/>
          <w:szCs w:val="32"/>
        </w:rPr>
        <w:t>商务技术得分（</w:t>
      </w:r>
      <w:r>
        <w:rPr>
          <w:rFonts w:hint="eastAsia" w:ascii="宋体" w:hAnsi="宋体" w:cs="宋体"/>
          <w:kern w:val="0"/>
          <w:sz w:val="32"/>
          <w:szCs w:val="32"/>
          <w:lang w:val="en-US" w:eastAsia="zh-CN"/>
        </w:rPr>
        <w:t>7</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rPr>
        <w:t>分）</w:t>
      </w:r>
    </w:p>
    <w:p w14:paraId="5216B682">
      <w:pPr>
        <w:pStyle w:val="8"/>
        <w:rPr>
          <w:rFonts w:hint="eastAsia" w:eastAsia="宋体"/>
          <w:lang w:val="en-US" w:eastAsia="zh-CN"/>
        </w:rPr>
      </w:pPr>
    </w:p>
    <w:tbl>
      <w:tblPr>
        <w:tblStyle w:val="23"/>
        <w:tblW w:w="104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0"/>
        <w:gridCol w:w="1717"/>
        <w:gridCol w:w="7446"/>
      </w:tblGrid>
      <w:tr w14:paraId="4277C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20" w:type="dxa"/>
            <w:noWrap w:val="0"/>
            <w:vAlign w:val="center"/>
          </w:tcPr>
          <w:p w14:paraId="68BB118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sz w:val="24"/>
                <w:szCs w:val="24"/>
                <w:highlight w:val="none"/>
              </w:rPr>
            </w:pPr>
          </w:p>
        </w:tc>
        <w:tc>
          <w:tcPr>
            <w:tcW w:w="1717" w:type="dxa"/>
            <w:noWrap w:val="0"/>
            <w:vAlign w:val="center"/>
          </w:tcPr>
          <w:p w14:paraId="6B76DD4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评分因素</w:t>
            </w:r>
          </w:p>
        </w:tc>
        <w:tc>
          <w:tcPr>
            <w:tcW w:w="7446" w:type="dxa"/>
            <w:noWrap w:val="0"/>
            <w:vAlign w:val="center"/>
          </w:tcPr>
          <w:p w14:paraId="23CC1E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kern w:val="0"/>
                <w:sz w:val="24"/>
                <w:szCs w:val="24"/>
                <w:highlight w:val="none"/>
              </w:rPr>
            </w:pPr>
            <w:r>
              <w:rPr>
                <w:rFonts w:hint="default" w:ascii="Times New Roman" w:hAnsi="Times New Roman" w:cs="Times New Roman"/>
                <w:b/>
                <w:color w:val="auto"/>
                <w:sz w:val="24"/>
                <w:szCs w:val="24"/>
                <w:highlight w:val="none"/>
              </w:rPr>
              <w:t>评分标准</w:t>
            </w:r>
          </w:p>
        </w:tc>
      </w:tr>
      <w:tr w14:paraId="7477B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1320" w:type="dxa"/>
            <w:vMerge w:val="restart"/>
            <w:noWrap w:val="0"/>
            <w:vAlign w:val="center"/>
          </w:tcPr>
          <w:p w14:paraId="566385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商务技术部分</w:t>
            </w:r>
          </w:p>
          <w:p w14:paraId="798C0D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（70分）</w:t>
            </w:r>
          </w:p>
        </w:tc>
        <w:tc>
          <w:tcPr>
            <w:tcW w:w="1717" w:type="dxa"/>
            <w:noWrap w:val="0"/>
            <w:vAlign w:val="center"/>
          </w:tcPr>
          <w:p w14:paraId="2B3005A7">
            <w:pPr>
              <w:pStyle w:val="51"/>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业绩</w:t>
            </w:r>
          </w:p>
          <w:p w14:paraId="0A65EAC7">
            <w:pPr>
              <w:pStyle w:val="51"/>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21"/>
                <w:sz w:val="24"/>
                <w:szCs w:val="24"/>
                <w:highlight w:val="none"/>
                <w:lang w:val="en-US" w:eastAsia="zh-CN" w:bidi="ar-SA"/>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yellow"/>
                <w:lang w:eastAsia="zh-CN"/>
              </w:rPr>
              <w:t>满分</w:t>
            </w:r>
            <w:r>
              <w:rPr>
                <w:rFonts w:hint="eastAsia" w:ascii="Times New Roman" w:hAnsi="Times New Roman" w:cs="Times New Roman"/>
                <w:color w:val="auto"/>
                <w:sz w:val="24"/>
                <w:szCs w:val="24"/>
                <w:highlight w:val="yellow"/>
                <w:lang w:val="en-US" w:eastAsia="zh-CN"/>
              </w:rPr>
              <w:t>10</w:t>
            </w:r>
            <w:r>
              <w:rPr>
                <w:rFonts w:hint="default" w:ascii="Times New Roman" w:hAnsi="Times New Roman" w:cs="Times New Roman"/>
                <w:color w:val="auto"/>
                <w:sz w:val="24"/>
                <w:szCs w:val="24"/>
                <w:highlight w:val="yellow"/>
                <w:lang w:eastAsia="zh-CN"/>
              </w:rPr>
              <w:t>分</w:t>
            </w:r>
            <w:r>
              <w:rPr>
                <w:rFonts w:hint="default" w:ascii="Times New Roman" w:hAnsi="Times New Roman" w:cs="Times New Roman"/>
                <w:color w:val="auto"/>
                <w:sz w:val="24"/>
                <w:szCs w:val="24"/>
                <w:highlight w:val="none"/>
                <w:lang w:eastAsia="zh-CN"/>
              </w:rPr>
              <w:t>）</w:t>
            </w:r>
          </w:p>
        </w:tc>
        <w:tc>
          <w:tcPr>
            <w:tcW w:w="7446" w:type="dxa"/>
            <w:noWrap w:val="0"/>
            <w:vAlign w:val="center"/>
          </w:tcPr>
          <w:p w14:paraId="09191073">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cs="Times New Roman"/>
                <w:color w:val="auto"/>
                <w:sz w:val="24"/>
                <w:szCs w:val="24"/>
                <w:highlight w:val="none"/>
                <w:lang w:val="en-US" w:eastAsia="zh-CN"/>
              </w:rPr>
              <w:t>供应商自2022年1月1日至今（以合同签订时间为准），具有类似追溯码相关产品或服务项目业绩，</w:t>
            </w:r>
            <w:r>
              <w:rPr>
                <w:rFonts w:hint="default" w:ascii="Times New Roman" w:hAnsi="Times New Roman" w:eastAsia="宋体" w:cs="Times New Roman"/>
                <w:color w:val="auto"/>
                <w:kern w:val="0"/>
                <w:sz w:val="24"/>
                <w:szCs w:val="24"/>
                <w:highlight w:val="yellow"/>
                <w:lang w:eastAsia="zh-CN"/>
              </w:rPr>
              <w:t>每提供1个得</w:t>
            </w:r>
            <w:r>
              <w:rPr>
                <w:rFonts w:hint="eastAsia" w:ascii="Times New Roman" w:hAnsi="Times New Roman" w:cs="Times New Roman"/>
                <w:color w:val="auto"/>
                <w:kern w:val="0"/>
                <w:sz w:val="24"/>
                <w:szCs w:val="24"/>
                <w:highlight w:val="yellow"/>
                <w:lang w:val="en-US" w:eastAsia="zh-CN"/>
              </w:rPr>
              <w:t>2</w:t>
            </w:r>
            <w:r>
              <w:rPr>
                <w:rFonts w:hint="default" w:ascii="Times New Roman" w:hAnsi="Times New Roman" w:eastAsia="宋体" w:cs="Times New Roman"/>
                <w:color w:val="auto"/>
                <w:kern w:val="0"/>
                <w:sz w:val="24"/>
                <w:szCs w:val="24"/>
                <w:highlight w:val="yellow"/>
                <w:lang w:eastAsia="zh-CN"/>
              </w:rPr>
              <w:t>分，</w:t>
            </w:r>
            <w:r>
              <w:rPr>
                <w:rFonts w:hint="default" w:ascii="Times New Roman" w:hAnsi="Times New Roman" w:eastAsia="宋体" w:cs="Times New Roman"/>
                <w:color w:val="auto"/>
                <w:kern w:val="0"/>
                <w:sz w:val="24"/>
                <w:szCs w:val="24"/>
                <w:highlight w:val="yellow"/>
                <w:lang w:val="en-US" w:eastAsia="zh-CN"/>
              </w:rPr>
              <w:t>满分</w:t>
            </w:r>
            <w:r>
              <w:rPr>
                <w:rFonts w:hint="eastAsia" w:ascii="Times New Roman" w:hAnsi="Times New Roman" w:cs="Times New Roman"/>
                <w:color w:val="auto"/>
                <w:kern w:val="0"/>
                <w:sz w:val="24"/>
                <w:szCs w:val="24"/>
                <w:highlight w:val="yellow"/>
                <w:lang w:val="en-US" w:eastAsia="zh-CN"/>
              </w:rPr>
              <w:t>10</w:t>
            </w:r>
            <w:r>
              <w:rPr>
                <w:rFonts w:hint="default" w:ascii="Times New Roman" w:hAnsi="Times New Roman" w:eastAsia="宋体" w:cs="Times New Roman"/>
                <w:color w:val="auto"/>
                <w:kern w:val="0"/>
                <w:sz w:val="24"/>
                <w:szCs w:val="24"/>
                <w:highlight w:val="yellow"/>
                <w:lang w:val="en-US" w:eastAsia="zh-CN"/>
              </w:rPr>
              <w:t>分</w:t>
            </w:r>
            <w:r>
              <w:rPr>
                <w:rFonts w:hint="default" w:ascii="Times New Roman" w:hAnsi="Times New Roman" w:eastAsia="宋体" w:cs="Times New Roman"/>
                <w:color w:val="auto"/>
                <w:kern w:val="0"/>
                <w:sz w:val="24"/>
                <w:szCs w:val="24"/>
                <w:highlight w:val="none"/>
                <w:lang w:eastAsia="zh-CN"/>
              </w:rPr>
              <w:t>。</w:t>
            </w:r>
          </w:p>
          <w:p w14:paraId="5F0484AF">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21"/>
                <w:sz w:val="24"/>
                <w:szCs w:val="24"/>
                <w:highlight w:val="none"/>
                <w:lang w:val="en-US" w:eastAsia="zh-CN" w:bidi="ar-SA"/>
              </w:rPr>
            </w:pPr>
            <w:r>
              <w:rPr>
                <w:rFonts w:hint="default" w:ascii="Times New Roman" w:hAnsi="Times New Roman" w:cs="Times New Roman"/>
                <w:b/>
                <w:bCs/>
                <w:color w:val="auto"/>
                <w:sz w:val="24"/>
                <w:szCs w:val="24"/>
                <w:highlight w:val="none"/>
              </w:rPr>
              <w:t>提供合同扫描件，若合同不能体现相关评审因素的，须提供其他相关证明材料（如加盖业主公章的证明材料等）。</w:t>
            </w:r>
          </w:p>
        </w:tc>
      </w:tr>
      <w:tr w14:paraId="6641B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320" w:type="dxa"/>
            <w:vMerge w:val="continue"/>
            <w:noWrap w:val="0"/>
            <w:vAlign w:val="center"/>
          </w:tcPr>
          <w:p w14:paraId="46F979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4"/>
                <w:szCs w:val="24"/>
                <w:highlight w:val="none"/>
              </w:rPr>
            </w:pPr>
          </w:p>
        </w:tc>
        <w:tc>
          <w:tcPr>
            <w:tcW w:w="1717" w:type="dxa"/>
            <w:noWrap w:val="0"/>
            <w:vAlign w:val="center"/>
          </w:tcPr>
          <w:p w14:paraId="794B5A0C">
            <w:pPr>
              <w:pStyle w:val="51"/>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系统建设方案</w:t>
            </w:r>
          </w:p>
          <w:p w14:paraId="0A0C5960">
            <w:pPr>
              <w:pStyle w:val="51"/>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yellow"/>
                <w:lang w:val="en-US" w:eastAsia="zh-CN"/>
              </w:rPr>
              <w:t>满分</w:t>
            </w:r>
            <w:r>
              <w:rPr>
                <w:rFonts w:hint="eastAsia" w:ascii="Times New Roman" w:hAnsi="Times New Roman" w:cs="Times New Roman"/>
                <w:color w:val="auto"/>
                <w:sz w:val="24"/>
                <w:szCs w:val="24"/>
                <w:highlight w:val="yellow"/>
                <w:lang w:val="en-US" w:eastAsia="zh-CN"/>
              </w:rPr>
              <w:t>7</w:t>
            </w:r>
            <w:r>
              <w:rPr>
                <w:rFonts w:hint="default" w:ascii="Times New Roman" w:hAnsi="Times New Roman" w:eastAsia="宋体" w:cs="Times New Roman"/>
                <w:color w:val="auto"/>
                <w:sz w:val="24"/>
                <w:szCs w:val="24"/>
                <w:highlight w:val="yellow"/>
                <w:lang w:val="en-US" w:eastAsia="zh-CN"/>
              </w:rPr>
              <w:t>分</w:t>
            </w:r>
            <w:r>
              <w:rPr>
                <w:rFonts w:hint="default" w:ascii="Times New Roman" w:hAnsi="Times New Roman" w:eastAsia="宋体" w:cs="Times New Roman"/>
                <w:color w:val="auto"/>
                <w:sz w:val="24"/>
                <w:szCs w:val="24"/>
                <w:highlight w:val="none"/>
                <w:lang w:eastAsia="zh-CN"/>
              </w:rPr>
              <w:t xml:space="preserve">） </w:t>
            </w:r>
          </w:p>
        </w:tc>
        <w:tc>
          <w:tcPr>
            <w:tcW w:w="7446" w:type="dxa"/>
            <w:noWrap w:val="0"/>
            <w:vAlign w:val="center"/>
          </w:tcPr>
          <w:p w14:paraId="0DA474B2">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评审委员会</w:t>
            </w:r>
            <w:r>
              <w:rPr>
                <w:rFonts w:hint="default" w:ascii="Times New Roman" w:hAnsi="Times New Roman" w:cs="Times New Roman"/>
                <w:sz w:val="24"/>
                <w:szCs w:val="24"/>
                <w:highlight w:val="none"/>
              </w:rPr>
              <w:t>根据供应商提供的</w:t>
            </w:r>
            <w:r>
              <w:rPr>
                <w:rFonts w:hint="default" w:ascii="Times New Roman" w:hAnsi="Times New Roman" w:cs="Times New Roman"/>
                <w:sz w:val="24"/>
                <w:szCs w:val="24"/>
                <w:highlight w:val="none"/>
                <w:lang w:val="en-US" w:eastAsia="zh-CN"/>
              </w:rPr>
              <w:t>系统建设方案进行评分，</w:t>
            </w:r>
          </w:p>
          <w:p w14:paraId="6FC6DD04">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有完整的系统建设规划方案。对本项目工作过程中迭代功能及本平台设计功能衔接中的重要难点进行科学、合理、准确地分析描述；</w:t>
            </w:r>
          </w:p>
          <w:p w14:paraId="51B48C3F">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分析描述科学、合理准确的</w:t>
            </w:r>
            <w:r>
              <w:rPr>
                <w:rFonts w:hint="default" w:ascii="Times New Roman" w:hAnsi="Times New Roman" w:eastAsia="宋体" w:cs="Times New Roman"/>
                <w:color w:val="auto"/>
                <w:sz w:val="24"/>
                <w:szCs w:val="24"/>
                <w:highlight w:val="yellow"/>
                <w:lang w:val="en-US" w:eastAsia="zh-CN"/>
              </w:rPr>
              <w:t>得</w:t>
            </w:r>
            <w:r>
              <w:rPr>
                <w:rFonts w:hint="eastAsia" w:ascii="Times New Roman" w:hAnsi="Times New Roman" w:cs="Times New Roman"/>
                <w:color w:val="auto"/>
                <w:sz w:val="24"/>
                <w:szCs w:val="24"/>
                <w:highlight w:val="yellow"/>
                <w:lang w:val="en-US" w:eastAsia="zh-CN"/>
              </w:rPr>
              <w:t>7</w:t>
            </w:r>
            <w:r>
              <w:rPr>
                <w:rFonts w:hint="default" w:ascii="Times New Roman" w:hAnsi="Times New Roman" w:eastAsia="宋体" w:cs="Times New Roman"/>
                <w:color w:val="auto"/>
                <w:sz w:val="24"/>
                <w:szCs w:val="24"/>
                <w:highlight w:val="yellow"/>
                <w:lang w:val="en-US" w:eastAsia="zh-CN"/>
              </w:rPr>
              <w:t>分</w:t>
            </w:r>
            <w:r>
              <w:rPr>
                <w:rFonts w:hint="default" w:ascii="Times New Roman" w:hAnsi="Times New Roman" w:eastAsia="宋体" w:cs="Times New Roman"/>
                <w:color w:val="auto"/>
                <w:sz w:val="24"/>
                <w:szCs w:val="24"/>
                <w:highlight w:val="none"/>
                <w:lang w:val="en-US" w:eastAsia="zh-CN"/>
              </w:rPr>
              <w:t>；</w:t>
            </w:r>
          </w:p>
          <w:p w14:paraId="557E00C7">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rPr>
            </w:pPr>
            <w:r>
              <w:rPr>
                <w:rFonts w:hint="default" w:ascii="Times New Roman" w:hAnsi="Times New Roman" w:eastAsia="宋体" w:cs="Times New Roman"/>
                <w:color w:val="auto"/>
                <w:sz w:val="24"/>
                <w:szCs w:val="24"/>
                <w:highlight w:val="none"/>
                <w:lang w:val="en-US" w:eastAsia="zh-CN"/>
              </w:rPr>
              <w:t>分析描述较科学、较合理准确的</w:t>
            </w:r>
            <w:r>
              <w:rPr>
                <w:rFonts w:hint="default" w:ascii="Times New Roman" w:hAnsi="Times New Roman" w:eastAsia="宋体" w:cs="Times New Roman"/>
                <w:color w:val="auto"/>
                <w:sz w:val="24"/>
                <w:szCs w:val="24"/>
                <w:highlight w:val="yellow"/>
                <w:lang w:val="en-US" w:eastAsia="zh-CN"/>
              </w:rPr>
              <w:t>得</w:t>
            </w:r>
            <w:r>
              <w:rPr>
                <w:rFonts w:hint="eastAsia" w:ascii="Times New Roman" w:hAnsi="Times New Roman" w:cs="Times New Roman"/>
                <w:color w:val="auto"/>
                <w:sz w:val="24"/>
                <w:szCs w:val="24"/>
                <w:highlight w:val="yellow"/>
                <w:lang w:val="en-US" w:eastAsia="zh-CN"/>
              </w:rPr>
              <w:t>4</w:t>
            </w:r>
            <w:r>
              <w:rPr>
                <w:rFonts w:hint="default" w:ascii="Times New Roman" w:hAnsi="Times New Roman" w:eastAsia="宋体" w:cs="Times New Roman"/>
                <w:color w:val="auto"/>
                <w:sz w:val="24"/>
                <w:szCs w:val="24"/>
                <w:highlight w:val="yellow"/>
                <w:lang w:val="en-US" w:eastAsia="zh-CN"/>
              </w:rPr>
              <w:t>分</w:t>
            </w:r>
            <w:r>
              <w:rPr>
                <w:rFonts w:hint="default" w:ascii="Times New Roman" w:hAnsi="Times New Roman" w:eastAsia="宋体" w:cs="Times New Roman"/>
                <w:color w:val="auto"/>
                <w:sz w:val="24"/>
                <w:szCs w:val="24"/>
                <w:highlight w:val="none"/>
                <w:lang w:val="en-US" w:eastAsia="zh-CN"/>
              </w:rPr>
              <w:t>；</w:t>
            </w:r>
          </w:p>
          <w:p w14:paraId="30303551">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rPr>
            </w:pPr>
            <w:r>
              <w:rPr>
                <w:rFonts w:hint="default" w:ascii="Times New Roman" w:hAnsi="Times New Roman" w:eastAsia="宋体" w:cs="Times New Roman"/>
                <w:color w:val="auto"/>
                <w:sz w:val="24"/>
                <w:szCs w:val="24"/>
                <w:highlight w:val="none"/>
                <w:lang w:val="en-US" w:eastAsia="zh-CN"/>
              </w:rPr>
              <w:t>分析描述不科学、不合理准确的</w:t>
            </w:r>
            <w:r>
              <w:rPr>
                <w:rFonts w:hint="default" w:ascii="Times New Roman" w:hAnsi="Times New Roman" w:eastAsia="宋体" w:cs="Times New Roman"/>
                <w:color w:val="auto"/>
                <w:sz w:val="24"/>
                <w:szCs w:val="24"/>
                <w:highlight w:val="yellow"/>
                <w:lang w:val="en-US" w:eastAsia="zh-CN"/>
              </w:rPr>
              <w:t>得1分</w:t>
            </w:r>
            <w:r>
              <w:rPr>
                <w:rFonts w:hint="default" w:ascii="Times New Roman" w:hAnsi="Times New Roman" w:eastAsia="宋体" w:cs="Times New Roman"/>
                <w:color w:val="auto"/>
                <w:sz w:val="24"/>
                <w:szCs w:val="24"/>
                <w:highlight w:val="none"/>
                <w:lang w:val="en-US" w:eastAsia="zh-CN"/>
              </w:rPr>
              <w:t>；未提供的不得分。</w:t>
            </w:r>
          </w:p>
        </w:tc>
      </w:tr>
      <w:tr w14:paraId="6119E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jc w:val="center"/>
        </w:trPr>
        <w:tc>
          <w:tcPr>
            <w:tcW w:w="1320" w:type="dxa"/>
            <w:vMerge w:val="continue"/>
            <w:noWrap w:val="0"/>
            <w:vAlign w:val="center"/>
          </w:tcPr>
          <w:p w14:paraId="25A79D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4"/>
                <w:szCs w:val="24"/>
                <w:highlight w:val="none"/>
              </w:rPr>
            </w:pPr>
          </w:p>
        </w:tc>
        <w:tc>
          <w:tcPr>
            <w:tcW w:w="1717" w:type="dxa"/>
            <w:noWrap w:val="0"/>
            <w:vAlign w:val="center"/>
          </w:tcPr>
          <w:p w14:paraId="76EDA7BD">
            <w:pPr>
              <w:pStyle w:val="51"/>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实施</w:t>
            </w:r>
            <w:r>
              <w:rPr>
                <w:rFonts w:hint="default" w:ascii="Times New Roman" w:hAnsi="Times New Roman" w:eastAsia="宋体" w:cs="Times New Roman"/>
                <w:color w:val="auto"/>
                <w:sz w:val="24"/>
                <w:szCs w:val="24"/>
                <w:highlight w:val="none"/>
                <w:lang w:eastAsia="zh-CN"/>
              </w:rPr>
              <w:t>方案</w:t>
            </w:r>
          </w:p>
          <w:p w14:paraId="37321414">
            <w:pPr>
              <w:pStyle w:val="51"/>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满分5分</w:t>
            </w:r>
            <w:r>
              <w:rPr>
                <w:rFonts w:hint="default" w:ascii="Times New Roman" w:hAnsi="Times New Roman" w:eastAsia="宋体" w:cs="Times New Roman"/>
                <w:color w:val="auto"/>
                <w:sz w:val="24"/>
                <w:szCs w:val="24"/>
                <w:highlight w:val="none"/>
                <w:lang w:eastAsia="zh-CN"/>
              </w:rPr>
              <w:t>）</w:t>
            </w:r>
          </w:p>
        </w:tc>
        <w:tc>
          <w:tcPr>
            <w:tcW w:w="7446" w:type="dxa"/>
            <w:noWrap w:val="0"/>
            <w:vAlign w:val="center"/>
          </w:tcPr>
          <w:p w14:paraId="528E2192">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sz w:val="24"/>
                <w:szCs w:val="24"/>
                <w:highlight w:val="none"/>
                <w:lang w:val="en-US" w:eastAsia="zh-CN"/>
              </w:rPr>
              <w:t>评审委员会</w:t>
            </w:r>
            <w:r>
              <w:rPr>
                <w:rFonts w:hint="default" w:ascii="Times New Roman" w:hAnsi="Times New Roman" w:cs="Times New Roman"/>
                <w:sz w:val="24"/>
                <w:szCs w:val="24"/>
                <w:highlight w:val="none"/>
              </w:rPr>
              <w:t>根据供应商提供的</w:t>
            </w:r>
            <w:r>
              <w:rPr>
                <w:rFonts w:hint="default" w:ascii="Times New Roman" w:hAnsi="Times New Roman" w:cs="Times New Roman"/>
                <w:sz w:val="24"/>
                <w:szCs w:val="24"/>
                <w:highlight w:val="none"/>
                <w:lang w:val="en-US" w:eastAsia="zh-CN"/>
              </w:rPr>
              <w:t>实施方案进行评分，</w:t>
            </w:r>
          </w:p>
          <w:p w14:paraId="0C3CB8F0">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针对本项目工作过程中新增功能及本平台设计功能衔接中的重要难点，有针对性地提出对应措施，措施切实可行。</w:t>
            </w:r>
          </w:p>
          <w:p w14:paraId="6854B680">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分析科学，措施可行性高的得5分；</w:t>
            </w:r>
          </w:p>
          <w:p w14:paraId="1C26D4AC">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分析较科学，措施可行性一般的得3分；</w:t>
            </w:r>
          </w:p>
          <w:p w14:paraId="68680E46">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分析不科学，可行性较低的得1分；未提供的不得分。</w:t>
            </w:r>
          </w:p>
        </w:tc>
      </w:tr>
      <w:tr w14:paraId="755C5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jc w:val="center"/>
        </w:trPr>
        <w:tc>
          <w:tcPr>
            <w:tcW w:w="1320" w:type="dxa"/>
            <w:vMerge w:val="continue"/>
            <w:noWrap w:val="0"/>
            <w:vAlign w:val="center"/>
          </w:tcPr>
          <w:p w14:paraId="046CB7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4"/>
                <w:szCs w:val="24"/>
                <w:highlight w:val="none"/>
              </w:rPr>
            </w:pPr>
          </w:p>
        </w:tc>
        <w:tc>
          <w:tcPr>
            <w:tcW w:w="1717" w:type="dxa"/>
            <w:noWrap w:val="0"/>
            <w:vAlign w:val="center"/>
          </w:tcPr>
          <w:p w14:paraId="26977237">
            <w:pPr>
              <w:pStyle w:val="51"/>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客户反馈</w:t>
            </w:r>
            <w:r>
              <w:rPr>
                <w:rFonts w:hint="eastAsia"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满分</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分</w:t>
            </w:r>
            <w:r>
              <w:rPr>
                <w:rFonts w:hint="default" w:ascii="Times New Roman" w:hAnsi="Times New Roman" w:eastAsia="宋体" w:cs="Times New Roman"/>
                <w:color w:val="auto"/>
                <w:sz w:val="24"/>
                <w:szCs w:val="24"/>
                <w:highlight w:val="none"/>
                <w:lang w:eastAsia="zh-CN"/>
              </w:rPr>
              <w:t>）</w:t>
            </w:r>
          </w:p>
        </w:tc>
        <w:tc>
          <w:tcPr>
            <w:tcW w:w="7446" w:type="dxa"/>
            <w:noWrap w:val="0"/>
            <w:vAlign w:val="center"/>
          </w:tcPr>
          <w:p w14:paraId="78DD5F59">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追溯码信息化建设同类项目提供用户使用产品</w:t>
            </w:r>
            <w:r>
              <w:rPr>
                <w:rFonts w:hint="eastAsia" w:ascii="Times New Roman" w:hAnsi="Times New Roman" w:eastAsia="宋体" w:cs="Times New Roman"/>
                <w:color w:val="auto"/>
                <w:sz w:val="24"/>
                <w:szCs w:val="24"/>
                <w:highlight w:val="none"/>
                <w:lang w:val="en-US" w:eastAsia="zh-CN"/>
              </w:rPr>
              <w:t>得到政府单位</w:t>
            </w:r>
            <w:r>
              <w:rPr>
                <w:rFonts w:hint="default" w:ascii="Times New Roman" w:hAnsi="Times New Roman" w:eastAsia="宋体" w:cs="Times New Roman"/>
                <w:color w:val="auto"/>
                <w:sz w:val="24"/>
                <w:szCs w:val="24"/>
                <w:highlight w:val="none"/>
                <w:lang w:val="en-US" w:eastAsia="zh-CN"/>
              </w:rPr>
              <w:t>的反馈意见表、表扬信等证明客户对公司的意见优良级以上</w:t>
            </w:r>
            <w:r>
              <w:rPr>
                <w:rFonts w:hint="eastAsia" w:ascii="Times New Roman" w:hAnsi="Times New Roman" w:eastAsia="宋体" w:cs="Times New Roman"/>
                <w:color w:val="auto"/>
                <w:sz w:val="24"/>
                <w:szCs w:val="24"/>
                <w:highlight w:val="none"/>
                <w:lang w:val="en-US" w:eastAsia="zh-CN"/>
              </w:rPr>
              <w:t>可得</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分</w:t>
            </w:r>
          </w:p>
        </w:tc>
      </w:tr>
      <w:tr w14:paraId="3FFC4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320" w:type="dxa"/>
            <w:vMerge w:val="continue"/>
            <w:noWrap w:val="0"/>
            <w:vAlign w:val="center"/>
          </w:tcPr>
          <w:p w14:paraId="38656D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4"/>
                <w:szCs w:val="24"/>
                <w:highlight w:val="none"/>
              </w:rPr>
            </w:pPr>
          </w:p>
        </w:tc>
        <w:tc>
          <w:tcPr>
            <w:tcW w:w="1717" w:type="dxa"/>
            <w:noWrap w:val="0"/>
            <w:vAlign w:val="center"/>
          </w:tcPr>
          <w:p w14:paraId="1C40FDB0">
            <w:pPr>
              <w:pStyle w:val="51"/>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项目需求分析</w:t>
            </w:r>
            <w:r>
              <w:rPr>
                <w:rFonts w:hint="default" w:ascii="Times New Roman" w:hAnsi="Times New Roman" w:eastAsia="宋体" w:cs="Times New Roman"/>
                <w:color w:val="auto"/>
                <w:sz w:val="24"/>
                <w:szCs w:val="24"/>
                <w:highlight w:val="none"/>
                <w:lang w:eastAsia="zh-CN"/>
              </w:rPr>
              <w:t>方案</w:t>
            </w:r>
          </w:p>
          <w:p w14:paraId="6508A42C">
            <w:pPr>
              <w:pStyle w:val="51"/>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yellow"/>
                <w:lang w:val="en-US" w:eastAsia="zh-CN"/>
              </w:rPr>
              <w:t>满分</w:t>
            </w:r>
            <w:r>
              <w:rPr>
                <w:rFonts w:hint="eastAsia" w:ascii="Times New Roman" w:hAnsi="Times New Roman" w:cs="Times New Roman"/>
                <w:color w:val="auto"/>
                <w:sz w:val="24"/>
                <w:szCs w:val="24"/>
                <w:highlight w:val="yellow"/>
                <w:lang w:val="en-US" w:eastAsia="zh-CN"/>
              </w:rPr>
              <w:t>8</w:t>
            </w:r>
            <w:r>
              <w:rPr>
                <w:rFonts w:hint="default" w:ascii="Times New Roman" w:hAnsi="Times New Roman" w:eastAsia="宋体" w:cs="Times New Roman"/>
                <w:color w:val="auto"/>
                <w:sz w:val="24"/>
                <w:szCs w:val="24"/>
                <w:highlight w:val="yellow"/>
                <w:lang w:val="en-US" w:eastAsia="zh-CN"/>
              </w:rPr>
              <w:t>分</w:t>
            </w:r>
            <w:r>
              <w:rPr>
                <w:rFonts w:hint="default" w:ascii="Times New Roman" w:hAnsi="Times New Roman" w:eastAsia="宋体" w:cs="Times New Roman"/>
                <w:color w:val="auto"/>
                <w:sz w:val="24"/>
                <w:szCs w:val="24"/>
                <w:highlight w:val="none"/>
                <w:lang w:eastAsia="zh-CN"/>
              </w:rPr>
              <w:t>）</w:t>
            </w:r>
          </w:p>
        </w:tc>
        <w:tc>
          <w:tcPr>
            <w:tcW w:w="7446" w:type="dxa"/>
            <w:noWrap w:val="0"/>
            <w:vAlign w:val="center"/>
          </w:tcPr>
          <w:p w14:paraId="6E13B33D">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sz w:val="24"/>
                <w:szCs w:val="24"/>
                <w:highlight w:val="none"/>
                <w:lang w:val="en-US" w:eastAsia="zh-CN"/>
              </w:rPr>
              <w:t>评审委员会</w:t>
            </w:r>
            <w:r>
              <w:rPr>
                <w:rFonts w:hint="default" w:ascii="Times New Roman" w:hAnsi="Times New Roman" w:cs="Times New Roman"/>
                <w:sz w:val="24"/>
                <w:szCs w:val="24"/>
                <w:highlight w:val="none"/>
              </w:rPr>
              <w:t>根据供应商提供的</w:t>
            </w:r>
            <w:r>
              <w:rPr>
                <w:rFonts w:hint="default" w:ascii="Times New Roman" w:hAnsi="Times New Roman" w:eastAsia="宋体" w:cs="Times New Roman"/>
                <w:color w:val="auto"/>
                <w:sz w:val="24"/>
                <w:szCs w:val="24"/>
                <w:highlight w:val="none"/>
                <w:lang w:val="en-US" w:eastAsia="zh-CN"/>
              </w:rPr>
              <w:t>项目需求分析</w:t>
            </w:r>
            <w:r>
              <w:rPr>
                <w:rFonts w:hint="default" w:ascii="Times New Roman" w:hAnsi="Times New Roman" w:cs="Times New Roman"/>
                <w:sz w:val="24"/>
                <w:szCs w:val="24"/>
                <w:highlight w:val="none"/>
                <w:lang w:val="en-US" w:eastAsia="zh-CN"/>
              </w:rPr>
              <w:t>方案进行评分，</w:t>
            </w:r>
            <w:r>
              <w:rPr>
                <w:rFonts w:hint="default" w:ascii="Times New Roman" w:hAnsi="Times New Roman" w:eastAsia="宋体" w:cs="Times New Roman"/>
                <w:color w:val="auto"/>
                <w:sz w:val="24"/>
                <w:szCs w:val="24"/>
                <w:highlight w:val="none"/>
                <w:lang w:val="en-US" w:eastAsia="zh-CN"/>
              </w:rPr>
              <w:t>对项目需求分析是否完整透彻，目标是否明确进行打分，</w:t>
            </w:r>
          </w:p>
          <w:p w14:paraId="45334344">
            <w:pPr>
              <w:pStyle w:val="2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需求分析完整透彻、目标明确的</w:t>
            </w:r>
            <w:r>
              <w:rPr>
                <w:rFonts w:hint="default" w:ascii="Times New Roman" w:hAnsi="Times New Roman" w:eastAsia="宋体" w:cs="Times New Roman"/>
                <w:color w:val="auto"/>
                <w:sz w:val="24"/>
                <w:szCs w:val="24"/>
                <w:highlight w:val="yellow"/>
                <w:lang w:val="en-US" w:eastAsia="zh-CN"/>
              </w:rPr>
              <w:t>得</w:t>
            </w:r>
            <w:r>
              <w:rPr>
                <w:rFonts w:hint="eastAsia" w:ascii="Times New Roman" w:hAnsi="Times New Roman" w:cs="Times New Roman"/>
                <w:color w:val="auto"/>
                <w:sz w:val="24"/>
                <w:szCs w:val="24"/>
                <w:highlight w:val="yellow"/>
                <w:lang w:val="en-US" w:eastAsia="zh-CN"/>
              </w:rPr>
              <w:t>8</w:t>
            </w:r>
            <w:r>
              <w:rPr>
                <w:rFonts w:hint="default" w:ascii="Times New Roman" w:hAnsi="Times New Roman" w:eastAsia="宋体" w:cs="Times New Roman"/>
                <w:color w:val="auto"/>
                <w:sz w:val="24"/>
                <w:szCs w:val="24"/>
                <w:highlight w:val="yellow"/>
                <w:lang w:val="en-US" w:eastAsia="zh-CN"/>
              </w:rPr>
              <w:t>分</w:t>
            </w:r>
            <w:r>
              <w:rPr>
                <w:rFonts w:hint="default" w:ascii="Times New Roman" w:hAnsi="Times New Roman" w:eastAsia="宋体" w:cs="Times New Roman"/>
                <w:color w:val="auto"/>
                <w:sz w:val="24"/>
                <w:szCs w:val="24"/>
                <w:highlight w:val="none"/>
                <w:lang w:val="en-US" w:eastAsia="zh-CN"/>
              </w:rPr>
              <w:t>；</w:t>
            </w:r>
          </w:p>
          <w:p w14:paraId="2CD0F351">
            <w:pPr>
              <w:pStyle w:val="2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需求分析较完整、目标较明确的</w:t>
            </w:r>
            <w:r>
              <w:rPr>
                <w:rFonts w:hint="default" w:ascii="Times New Roman" w:hAnsi="Times New Roman" w:eastAsia="宋体" w:cs="Times New Roman"/>
                <w:color w:val="auto"/>
                <w:sz w:val="24"/>
                <w:szCs w:val="24"/>
                <w:highlight w:val="yellow"/>
                <w:lang w:val="en-US" w:eastAsia="zh-CN"/>
              </w:rPr>
              <w:t>得</w:t>
            </w:r>
            <w:r>
              <w:rPr>
                <w:rFonts w:hint="eastAsia" w:ascii="Times New Roman" w:hAnsi="Times New Roman" w:cs="Times New Roman"/>
                <w:color w:val="auto"/>
                <w:sz w:val="24"/>
                <w:szCs w:val="24"/>
                <w:highlight w:val="yellow"/>
                <w:lang w:val="en-US" w:eastAsia="zh-CN"/>
              </w:rPr>
              <w:t>5</w:t>
            </w:r>
            <w:r>
              <w:rPr>
                <w:rFonts w:hint="default" w:ascii="Times New Roman" w:hAnsi="Times New Roman" w:eastAsia="宋体" w:cs="Times New Roman"/>
                <w:color w:val="auto"/>
                <w:sz w:val="24"/>
                <w:szCs w:val="24"/>
                <w:highlight w:val="yellow"/>
                <w:lang w:val="en-US" w:eastAsia="zh-CN"/>
              </w:rPr>
              <w:t>分</w:t>
            </w:r>
            <w:r>
              <w:rPr>
                <w:rFonts w:hint="default" w:ascii="Times New Roman" w:hAnsi="Times New Roman" w:eastAsia="宋体" w:cs="Times New Roman"/>
                <w:color w:val="auto"/>
                <w:sz w:val="24"/>
                <w:szCs w:val="24"/>
                <w:highlight w:val="none"/>
                <w:lang w:val="en-US" w:eastAsia="zh-CN"/>
              </w:rPr>
              <w:t>；</w:t>
            </w:r>
          </w:p>
          <w:p w14:paraId="6BB0E116">
            <w:pPr>
              <w:pStyle w:val="2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需求分析欠缺、目标模糊的</w:t>
            </w:r>
            <w:r>
              <w:rPr>
                <w:rFonts w:hint="default" w:ascii="Times New Roman" w:hAnsi="Times New Roman" w:eastAsia="宋体" w:cs="Times New Roman"/>
                <w:color w:val="auto"/>
                <w:sz w:val="24"/>
                <w:szCs w:val="24"/>
                <w:highlight w:val="yellow"/>
                <w:lang w:val="en-US" w:eastAsia="zh-CN"/>
              </w:rPr>
              <w:t>得</w:t>
            </w:r>
            <w:r>
              <w:rPr>
                <w:rFonts w:hint="eastAsia" w:ascii="Times New Roman" w:hAnsi="Times New Roman" w:cs="Times New Roman"/>
                <w:color w:val="auto"/>
                <w:sz w:val="24"/>
                <w:szCs w:val="24"/>
                <w:highlight w:val="yellow"/>
                <w:lang w:val="en-US" w:eastAsia="zh-CN"/>
              </w:rPr>
              <w:t>2</w:t>
            </w:r>
            <w:r>
              <w:rPr>
                <w:rFonts w:hint="default" w:ascii="Times New Roman" w:hAnsi="Times New Roman" w:eastAsia="宋体" w:cs="Times New Roman"/>
                <w:color w:val="auto"/>
                <w:sz w:val="24"/>
                <w:szCs w:val="24"/>
                <w:highlight w:val="yellow"/>
                <w:lang w:val="en-US" w:eastAsia="zh-CN"/>
              </w:rPr>
              <w:t>分</w:t>
            </w:r>
            <w:r>
              <w:rPr>
                <w:rFonts w:hint="default" w:ascii="Times New Roman" w:hAnsi="Times New Roman" w:eastAsia="宋体" w:cs="Times New Roman"/>
                <w:color w:val="auto"/>
                <w:sz w:val="24"/>
                <w:szCs w:val="24"/>
                <w:highlight w:val="none"/>
                <w:lang w:val="en-US" w:eastAsia="zh-CN"/>
              </w:rPr>
              <w:t>；未提供的不得分。</w:t>
            </w:r>
          </w:p>
        </w:tc>
      </w:tr>
      <w:tr w14:paraId="69A0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20" w:type="dxa"/>
            <w:vMerge w:val="continue"/>
            <w:noWrap w:val="0"/>
            <w:vAlign w:val="center"/>
          </w:tcPr>
          <w:p w14:paraId="5C1F04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0"/>
                <w:sz w:val="24"/>
                <w:szCs w:val="24"/>
                <w:highlight w:val="none"/>
              </w:rPr>
            </w:pPr>
          </w:p>
        </w:tc>
        <w:tc>
          <w:tcPr>
            <w:tcW w:w="1717" w:type="dxa"/>
            <w:noWrap w:val="0"/>
            <w:vAlign w:val="center"/>
          </w:tcPr>
          <w:p w14:paraId="7CF7E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“★”号条款</w:t>
            </w:r>
            <w:r>
              <w:rPr>
                <w:rFonts w:hint="default" w:ascii="Times New Roman" w:hAnsi="Times New Roman" w:cs="Times New Roman"/>
                <w:sz w:val="24"/>
                <w:szCs w:val="24"/>
                <w:highlight w:val="none"/>
                <w:lang w:val="en-US" w:eastAsia="zh-CN"/>
              </w:rPr>
              <w:t>的响应</w:t>
            </w:r>
          </w:p>
          <w:p w14:paraId="10E222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b w:val="0"/>
                <w:bCs w:val="0"/>
                <w:color w:val="auto"/>
                <w:kern w:val="0"/>
                <w:sz w:val="24"/>
                <w:szCs w:val="24"/>
                <w:highlight w:val="none"/>
                <w:lang w:eastAsia="zh-CN"/>
              </w:rPr>
              <w:t>（</w:t>
            </w:r>
            <w:r>
              <w:rPr>
                <w:rFonts w:hint="default" w:ascii="Times New Roman" w:hAnsi="Times New Roman" w:cs="Times New Roman"/>
                <w:b w:val="0"/>
                <w:bCs w:val="0"/>
                <w:color w:val="auto"/>
                <w:kern w:val="0"/>
                <w:sz w:val="24"/>
                <w:szCs w:val="24"/>
                <w:highlight w:val="none"/>
                <w:lang w:val="en-US" w:eastAsia="zh-CN"/>
              </w:rPr>
              <w:t>满分3</w:t>
            </w:r>
            <w:r>
              <w:rPr>
                <w:rFonts w:hint="eastAsia" w:ascii="Times New Roman" w:hAnsi="Times New Roman" w:cs="Times New Roman"/>
                <w:b w:val="0"/>
                <w:bCs w:val="0"/>
                <w:color w:val="auto"/>
                <w:kern w:val="0"/>
                <w:sz w:val="24"/>
                <w:szCs w:val="24"/>
                <w:highlight w:val="none"/>
                <w:lang w:val="en-US" w:eastAsia="zh-CN"/>
              </w:rPr>
              <w:t>6</w:t>
            </w:r>
            <w:r>
              <w:rPr>
                <w:rFonts w:hint="default" w:ascii="Times New Roman" w:hAnsi="Times New Roman" w:cs="Times New Roman"/>
                <w:b w:val="0"/>
                <w:bCs w:val="0"/>
                <w:color w:val="auto"/>
                <w:kern w:val="0"/>
                <w:sz w:val="24"/>
                <w:szCs w:val="24"/>
                <w:highlight w:val="none"/>
                <w:lang w:val="en-US" w:eastAsia="zh-CN"/>
              </w:rPr>
              <w:t>分</w:t>
            </w:r>
            <w:r>
              <w:rPr>
                <w:rFonts w:hint="default" w:ascii="Times New Roman" w:hAnsi="Times New Roman" w:cs="Times New Roman"/>
                <w:b w:val="0"/>
                <w:bCs w:val="0"/>
                <w:color w:val="auto"/>
                <w:kern w:val="0"/>
                <w:sz w:val="24"/>
                <w:szCs w:val="24"/>
                <w:highlight w:val="none"/>
                <w:lang w:eastAsia="zh-CN"/>
              </w:rPr>
              <w:t>）</w:t>
            </w:r>
          </w:p>
        </w:tc>
        <w:tc>
          <w:tcPr>
            <w:tcW w:w="7446" w:type="dxa"/>
            <w:noWrap w:val="0"/>
            <w:vAlign w:val="center"/>
          </w:tcPr>
          <w:p w14:paraId="5B3B87D5">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cs="Times New Roman"/>
                <w:color w:val="000000"/>
                <w:kern w:val="0"/>
                <w:sz w:val="24"/>
                <w:szCs w:val="24"/>
                <w:highlight w:val="none"/>
                <w:lang w:val="en-US" w:eastAsia="zh-CN" w:bidi="ar"/>
              </w:rPr>
              <w:t>评审委员会根据供应商对第三章采购需求中</w:t>
            </w:r>
            <w:r>
              <w:rPr>
                <w:rFonts w:hint="default" w:ascii="Times New Roman" w:hAnsi="Times New Roman" w:cs="Times New Roman"/>
                <w:sz w:val="24"/>
                <w:szCs w:val="24"/>
                <w:highlight w:val="none"/>
              </w:rPr>
              <w:t>“★”号条款</w:t>
            </w:r>
            <w:r>
              <w:rPr>
                <w:rFonts w:hint="default" w:ascii="Times New Roman" w:hAnsi="Times New Roman" w:cs="Times New Roman"/>
                <w:sz w:val="24"/>
                <w:szCs w:val="24"/>
                <w:highlight w:val="none"/>
                <w:lang w:val="en-US" w:eastAsia="zh-CN"/>
              </w:rPr>
              <w:t>的响应情况进行评审，完全满足或优于采购需求</w:t>
            </w:r>
            <w:r>
              <w:rPr>
                <w:rFonts w:hint="default" w:ascii="Times New Roman" w:hAnsi="Times New Roman" w:cs="Times New Roman"/>
                <w:sz w:val="24"/>
                <w:szCs w:val="24"/>
                <w:highlight w:val="none"/>
              </w:rPr>
              <w:t>“★”号条款</w:t>
            </w:r>
            <w:r>
              <w:rPr>
                <w:rFonts w:hint="default" w:ascii="Times New Roman" w:hAnsi="Times New Roman" w:cs="Times New Roman"/>
                <w:sz w:val="24"/>
                <w:szCs w:val="24"/>
                <w:highlight w:val="none"/>
                <w:lang w:val="en-US" w:eastAsia="zh-CN"/>
              </w:rPr>
              <w:t>的，得满分3</w:t>
            </w:r>
            <w:r>
              <w:rPr>
                <w:rFonts w:hint="eastAsia" w:ascii="Times New Roman" w:hAnsi="Times New Roman" w:cs="Times New Roman"/>
                <w:sz w:val="24"/>
                <w:szCs w:val="24"/>
                <w:highlight w:val="none"/>
                <w:lang w:val="en-US" w:eastAsia="zh-CN"/>
              </w:rPr>
              <w:t>6</w:t>
            </w:r>
            <w:r>
              <w:rPr>
                <w:rFonts w:hint="default" w:ascii="Times New Roman" w:hAnsi="Times New Roman" w:cs="Times New Roman"/>
                <w:sz w:val="24"/>
                <w:szCs w:val="24"/>
                <w:highlight w:val="none"/>
                <w:lang w:val="en-US" w:eastAsia="zh-CN"/>
              </w:rPr>
              <w:t>分，每不满足或负偏离一项扣3分，扣完为止。</w:t>
            </w:r>
          </w:p>
          <w:p w14:paraId="2A3EE7D8">
            <w:pPr>
              <w:pStyle w:val="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cs="Times New Roman"/>
                <w:sz w:val="24"/>
                <w:szCs w:val="24"/>
                <w:highlight w:val="none"/>
                <w:lang w:val="en-US" w:eastAsia="zh-CN"/>
              </w:rPr>
              <w:t>供应商须根据采购需求中</w:t>
            </w:r>
            <w:r>
              <w:rPr>
                <w:rFonts w:hint="default" w:ascii="Times New Roman" w:hAnsi="Times New Roman" w:cs="Times New Roman"/>
                <w:sz w:val="24"/>
                <w:szCs w:val="24"/>
                <w:highlight w:val="none"/>
              </w:rPr>
              <w:t>“★”号条款</w:t>
            </w:r>
            <w:r>
              <w:rPr>
                <w:rFonts w:hint="default" w:ascii="Times New Roman" w:hAnsi="Times New Roman" w:cs="Times New Roman"/>
                <w:sz w:val="24"/>
                <w:szCs w:val="24"/>
                <w:highlight w:val="none"/>
                <w:lang w:val="en-US" w:eastAsia="zh-CN"/>
              </w:rPr>
              <w:t>的要求</w:t>
            </w:r>
            <w:r>
              <w:rPr>
                <w:rFonts w:hint="default" w:ascii="Times New Roman" w:hAnsi="Times New Roman" w:cs="Times New Roman"/>
                <w:b w:val="0"/>
                <w:bCs w:val="0"/>
                <w:sz w:val="24"/>
                <w:szCs w:val="24"/>
                <w:highlight w:val="none"/>
                <w:lang w:val="en-US" w:eastAsia="zh-CN"/>
              </w:rPr>
              <w:t>提供相关证明材料</w:t>
            </w:r>
            <w:r>
              <w:rPr>
                <w:rFonts w:hint="default" w:ascii="Times New Roman" w:hAnsi="Times New Roman" w:cs="Times New Roman"/>
                <w:sz w:val="24"/>
                <w:szCs w:val="24"/>
                <w:highlight w:val="none"/>
                <w:lang w:val="en-US" w:eastAsia="zh-CN"/>
              </w:rPr>
              <w:t>，如未提供或者提供不全的，视为不满足或不响应，该项将扣相应分值。</w:t>
            </w:r>
          </w:p>
        </w:tc>
      </w:tr>
    </w:tbl>
    <w:p w14:paraId="658BF0C5">
      <w:pPr>
        <w:spacing w:line="560" w:lineRule="exact"/>
        <w:jc w:val="center"/>
        <w:outlineLvl w:val="0"/>
        <w:rPr>
          <w:rFonts w:hint="eastAsia" w:ascii="黑体" w:hAnsi="黑体" w:eastAsia="黑体" w:cs="黑体"/>
          <w:bCs/>
          <w:sz w:val="44"/>
          <w:szCs w:val="44"/>
        </w:rPr>
      </w:pPr>
    </w:p>
    <w:p w14:paraId="07074469">
      <w:pPr>
        <w:spacing w:line="560" w:lineRule="exact"/>
        <w:jc w:val="center"/>
        <w:outlineLvl w:val="0"/>
        <w:rPr>
          <w:rFonts w:hint="eastAsia" w:ascii="黑体" w:hAnsi="黑体" w:eastAsia="黑体" w:cs="黑体"/>
          <w:bCs/>
          <w:sz w:val="44"/>
          <w:szCs w:val="44"/>
        </w:rPr>
      </w:pPr>
    </w:p>
    <w:p w14:paraId="47A06A2F">
      <w:pPr>
        <w:spacing w:line="560" w:lineRule="exact"/>
        <w:jc w:val="center"/>
        <w:outlineLvl w:val="0"/>
        <w:rPr>
          <w:rFonts w:hint="eastAsia" w:ascii="黑体" w:hAnsi="黑体" w:eastAsia="黑体" w:cs="黑体"/>
          <w:bCs/>
          <w:sz w:val="44"/>
          <w:szCs w:val="44"/>
        </w:rPr>
      </w:pPr>
    </w:p>
    <w:p w14:paraId="3599837A">
      <w:pPr>
        <w:spacing w:line="560" w:lineRule="exact"/>
        <w:jc w:val="center"/>
        <w:outlineLvl w:val="0"/>
        <w:rPr>
          <w:rFonts w:hint="eastAsia" w:ascii="黑体" w:hAnsi="黑体" w:eastAsia="黑体" w:cs="黑体"/>
          <w:bCs/>
          <w:sz w:val="44"/>
          <w:szCs w:val="44"/>
        </w:rPr>
      </w:pPr>
    </w:p>
    <w:p w14:paraId="7B02AE2D">
      <w:pPr>
        <w:spacing w:line="560" w:lineRule="exact"/>
        <w:jc w:val="both"/>
        <w:outlineLvl w:val="0"/>
        <w:rPr>
          <w:rFonts w:hint="eastAsia" w:ascii="黑体" w:hAnsi="黑体" w:eastAsia="黑体" w:cs="黑体"/>
          <w:bCs/>
          <w:sz w:val="44"/>
          <w:szCs w:val="44"/>
        </w:rPr>
      </w:pPr>
    </w:p>
    <w:p w14:paraId="46A1E165">
      <w:pPr>
        <w:spacing w:line="560" w:lineRule="exact"/>
        <w:jc w:val="both"/>
        <w:outlineLvl w:val="0"/>
        <w:rPr>
          <w:rFonts w:hint="eastAsia" w:ascii="黑体" w:hAnsi="黑体" w:eastAsia="黑体" w:cs="黑体"/>
          <w:bCs/>
          <w:sz w:val="44"/>
          <w:szCs w:val="44"/>
        </w:rPr>
      </w:pPr>
    </w:p>
    <w:p w14:paraId="581D4261">
      <w:pPr>
        <w:spacing w:line="560" w:lineRule="exact"/>
        <w:jc w:val="both"/>
        <w:outlineLvl w:val="0"/>
        <w:rPr>
          <w:rFonts w:hint="eastAsia" w:ascii="黑体" w:hAnsi="黑体" w:eastAsia="黑体" w:cs="黑体"/>
          <w:bCs/>
          <w:sz w:val="44"/>
          <w:szCs w:val="44"/>
        </w:rPr>
      </w:pPr>
    </w:p>
    <w:p w14:paraId="121B6515">
      <w:pPr>
        <w:spacing w:line="560" w:lineRule="exact"/>
        <w:jc w:val="both"/>
        <w:outlineLvl w:val="0"/>
        <w:rPr>
          <w:rFonts w:hint="eastAsia" w:ascii="黑体" w:hAnsi="黑体" w:eastAsia="黑体" w:cs="黑体"/>
          <w:bCs/>
          <w:sz w:val="44"/>
          <w:szCs w:val="44"/>
        </w:rPr>
      </w:pPr>
    </w:p>
    <w:p w14:paraId="79939EDA">
      <w:pPr>
        <w:spacing w:line="560" w:lineRule="exact"/>
        <w:jc w:val="center"/>
        <w:outlineLvl w:val="0"/>
        <w:rPr>
          <w:rFonts w:hint="eastAsia" w:ascii="黑体" w:hAnsi="黑体" w:eastAsia="黑体" w:cs="黑体"/>
          <w:bCs/>
          <w:sz w:val="44"/>
          <w:szCs w:val="44"/>
        </w:rPr>
      </w:pPr>
    </w:p>
    <w:p w14:paraId="5C879B4F">
      <w:pPr>
        <w:spacing w:line="560" w:lineRule="exact"/>
        <w:jc w:val="center"/>
        <w:outlineLvl w:val="0"/>
        <w:rPr>
          <w:rFonts w:ascii="黑体" w:hAnsi="黑体" w:eastAsia="黑体" w:cs="黑体"/>
          <w:bCs/>
          <w:sz w:val="44"/>
          <w:szCs w:val="44"/>
        </w:rPr>
      </w:pPr>
      <w:r>
        <w:rPr>
          <w:rFonts w:hint="eastAsia" w:ascii="黑体" w:hAnsi="黑体" w:eastAsia="黑体" w:cs="黑体"/>
          <w:bCs/>
          <w:sz w:val="44"/>
          <w:szCs w:val="44"/>
        </w:rPr>
        <w:t>第五章 询比响应文件格式</w:t>
      </w:r>
      <w:bookmarkEnd w:id="10"/>
    </w:p>
    <w:p w14:paraId="7C8055C4">
      <w:pPr>
        <w:spacing w:line="700" w:lineRule="exact"/>
        <w:jc w:val="center"/>
        <w:rPr>
          <w:rFonts w:ascii="仿宋_GB2312" w:hAnsi="仿宋_GB2312" w:eastAsia="仿宋_GB2312" w:cs="仿宋_GB2312"/>
          <w:sz w:val="32"/>
          <w:szCs w:val="32"/>
        </w:rPr>
      </w:pPr>
    </w:p>
    <w:p w14:paraId="022ED04F">
      <w:pPr>
        <w:jc w:val="center"/>
        <w:rPr>
          <w:rFonts w:hint="eastAsia" w:ascii="楷体_GB2312" w:hAnsi="楷体_GB2312" w:eastAsia="楷体_GB2312" w:cs="楷体_GB2312"/>
          <w:b/>
          <w:bCs/>
          <w:sz w:val="56"/>
          <w:szCs w:val="56"/>
          <w:lang w:eastAsia="zh-CN"/>
        </w:rPr>
      </w:pPr>
      <w:r>
        <w:rPr>
          <w:rFonts w:hint="eastAsia" w:ascii="楷体_GB2312" w:hAnsi="楷体_GB2312" w:eastAsia="楷体_GB2312" w:cs="楷体_GB2312"/>
          <w:b/>
          <w:bCs/>
          <w:sz w:val="72"/>
          <w:szCs w:val="72"/>
          <w:lang w:val="en-US" w:eastAsia="zh-CN"/>
        </w:rPr>
        <w:t>阜阳市肿瘤医院药品追溯码全流程闭环系统</w:t>
      </w:r>
      <w:r>
        <w:rPr>
          <w:rFonts w:hint="default" w:ascii="楷体_GB2312" w:hAnsi="楷体_GB2312" w:eastAsia="楷体_GB2312" w:cs="楷体_GB2312"/>
          <w:b/>
          <w:bCs/>
          <w:sz w:val="72"/>
          <w:szCs w:val="72"/>
          <w:lang w:val="en-US" w:eastAsia="zh-CN"/>
        </w:rPr>
        <w:t>采购</w:t>
      </w:r>
      <w:r>
        <w:rPr>
          <w:rFonts w:hint="eastAsia" w:ascii="楷体_GB2312" w:hAnsi="楷体_GB2312" w:eastAsia="楷体_GB2312" w:cs="楷体_GB2312"/>
          <w:b/>
          <w:bCs/>
          <w:sz w:val="72"/>
          <w:szCs w:val="72"/>
          <w:lang w:val="en-US" w:eastAsia="zh-CN"/>
        </w:rPr>
        <w:t>项目</w:t>
      </w:r>
    </w:p>
    <w:p w14:paraId="60773D7C">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p>
    <w:p w14:paraId="4225E436">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28716216">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3E290899">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3AD527CA">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270696DB">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75F7C2C1">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32"/>
          <w:szCs w:val="32"/>
        </w:rPr>
      </w:pPr>
      <w:r>
        <w:rPr>
          <w:rFonts w:hint="eastAsia" w:ascii="仿宋" w:hAnsi="仿宋" w:eastAsia="仿宋" w:cs="仿宋"/>
          <w:b/>
          <w:bCs/>
          <w:color w:val="000000"/>
          <w:kern w:val="0"/>
          <w:sz w:val="72"/>
          <w:szCs w:val="72"/>
        </w:rPr>
        <w:t>件</w:t>
      </w:r>
    </w:p>
    <w:p w14:paraId="37C5E7D2">
      <w:pPr>
        <w:widowControl/>
        <w:shd w:val="clear" w:color="auto" w:fill="FFFFFF"/>
        <w:spacing w:before="100" w:beforeAutospacing="1" w:after="100" w:afterAutospacing="1" w:line="700" w:lineRule="exact"/>
        <w:ind w:firstLine="643" w:firstLineChars="200"/>
        <w:rPr>
          <w:rFonts w:ascii="仿宋_GB2312" w:hAnsi="仿宋_GB2312" w:eastAsia="仿宋_GB2312" w:cs="仿宋_GB2312"/>
          <w:b/>
          <w:bCs/>
          <w:color w:val="000000"/>
          <w:kern w:val="0"/>
          <w:sz w:val="32"/>
          <w:szCs w:val="32"/>
        </w:rPr>
      </w:pPr>
    </w:p>
    <w:p w14:paraId="24E8C220">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供应商：</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554E440F">
      <w:pPr>
        <w:widowControl/>
        <w:shd w:val="clear" w:color="auto" w:fill="FFFFFF"/>
        <w:spacing w:before="100" w:beforeAutospacing="1" w:after="100" w:afterAutospacing="1" w:line="700" w:lineRule="exact"/>
        <w:ind w:firstLine="3534" w:firstLineChars="1100"/>
        <w:rPr>
          <w:rFonts w:hint="eastAsia" w:ascii="黑体" w:hAnsi="黑体" w:eastAsia="黑体" w:cs="黑体"/>
          <w:b/>
          <w:bCs/>
          <w:color w:val="000000"/>
          <w:kern w:val="0"/>
          <w:sz w:val="44"/>
          <w:szCs w:val="44"/>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hint="eastAsia" w:ascii="仿宋_GB2312" w:hAnsi="仿宋_GB2312" w:eastAsia="仿宋_GB2312" w:cs="仿宋_GB2312"/>
          <w:b/>
          <w:bCs/>
          <w:color w:val="000000"/>
          <w:kern w:val="0"/>
          <w:sz w:val="32"/>
          <w:szCs w:val="32"/>
          <w:u w:val="single"/>
          <w:lang w:val="en-US" w:eastAsia="zh-CN"/>
        </w:rPr>
        <w:t>6</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11" w:name="_Hlt509738521"/>
      <w:bookmarkEnd w:id="11"/>
      <w:bookmarkStart w:id="12" w:name="_Hlt519045470"/>
      <w:bookmarkEnd w:id="12"/>
      <w:bookmarkStart w:id="13" w:name="_Hlt50174722"/>
      <w:bookmarkEnd w:id="13"/>
      <w:bookmarkStart w:id="14" w:name="_Toc197934561"/>
      <w:bookmarkEnd w:id="14"/>
      <w:bookmarkStart w:id="15" w:name="_Hlt519068595"/>
      <w:bookmarkEnd w:id="15"/>
      <w:bookmarkStart w:id="16" w:name="_Hlt533408877"/>
      <w:bookmarkEnd w:id="16"/>
      <w:bookmarkStart w:id="17" w:name="_Hlt50174972"/>
      <w:bookmarkEnd w:id="17"/>
      <w:bookmarkStart w:id="18" w:name="_Hlt509738509"/>
      <w:bookmarkEnd w:id="18"/>
      <w:bookmarkStart w:id="19" w:name="_Toc269135708"/>
      <w:bookmarkEnd w:id="19"/>
      <w:bookmarkStart w:id="20" w:name="_Hlt519045391"/>
      <w:bookmarkEnd w:id="20"/>
      <w:bookmarkStart w:id="21" w:name="_Hlt50174708"/>
      <w:bookmarkEnd w:id="21"/>
      <w:bookmarkStart w:id="22" w:name="_Toc282517740"/>
      <w:bookmarkEnd w:id="22"/>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w:t>
      </w:r>
    </w:p>
    <w:p w14:paraId="38403F2F">
      <w:pPr>
        <w:shd w:val="clear" w:color="auto" w:fill="FFFFFF"/>
        <w:spacing w:before="100" w:beforeAutospacing="1" w:after="100" w:afterAutospacing="1" w:line="560" w:lineRule="exact"/>
        <w:jc w:val="center"/>
        <w:rPr>
          <w:rFonts w:hint="eastAsia" w:ascii="黑体" w:hAnsi="黑体" w:eastAsia="黑体" w:cs="黑体"/>
          <w:b/>
          <w:bCs/>
          <w:color w:val="000000"/>
          <w:kern w:val="0"/>
          <w:sz w:val="44"/>
          <w:szCs w:val="44"/>
        </w:rPr>
      </w:pPr>
    </w:p>
    <w:p w14:paraId="17050032">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b/>
          <w:bCs/>
          <w:color w:val="000000"/>
          <w:kern w:val="0"/>
          <w:sz w:val="44"/>
          <w:szCs w:val="44"/>
        </w:rPr>
        <w:t>目录</w:t>
      </w:r>
    </w:p>
    <w:p w14:paraId="3F26DD00">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49D5611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二、响应函</w:t>
      </w:r>
    </w:p>
    <w:p w14:paraId="5D0DA04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2F56C5E1">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1C561ACA">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五、询比内容要求响应表</w:t>
      </w:r>
    </w:p>
    <w:p w14:paraId="55163A0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六、分项报价表</w:t>
      </w:r>
    </w:p>
    <w:p w14:paraId="2A9DF25F">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七、资格审查证明文件</w:t>
      </w:r>
    </w:p>
    <w:p w14:paraId="2E87931C">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八、所响应服务的相关材料</w:t>
      </w:r>
    </w:p>
    <w:p w14:paraId="22BB2F3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九、供应商认为需要说明的其他内容</w:t>
      </w:r>
    </w:p>
    <w:p w14:paraId="595494CC">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4BD871CB">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20CDDF72">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5D1A9637">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23" w:name="_Toc8835"/>
      <w:r>
        <w:rPr>
          <w:rFonts w:hint="eastAsia" w:ascii="黑体" w:hAnsi="黑体" w:eastAsia="黑体" w:cs="黑体"/>
          <w:color w:val="000000"/>
          <w:kern w:val="0"/>
          <w:sz w:val="32"/>
          <w:szCs w:val="32"/>
        </w:rPr>
        <w:t>一、开标一览表</w:t>
      </w:r>
      <w:bookmarkEnd w:id="23"/>
    </w:p>
    <w:tbl>
      <w:tblPr>
        <w:tblStyle w:val="23"/>
        <w:tblW w:w="9488" w:type="dxa"/>
        <w:jc w:val="center"/>
        <w:tblLayout w:type="fixed"/>
        <w:tblCellMar>
          <w:top w:w="0" w:type="dxa"/>
          <w:left w:w="0" w:type="dxa"/>
          <w:bottom w:w="0" w:type="dxa"/>
          <w:right w:w="0" w:type="dxa"/>
        </w:tblCellMar>
      </w:tblPr>
      <w:tblGrid>
        <w:gridCol w:w="2410"/>
        <w:gridCol w:w="7078"/>
      </w:tblGrid>
      <w:tr w14:paraId="78C108A3">
        <w:tblPrEx>
          <w:tblCellMar>
            <w:top w:w="0" w:type="dxa"/>
            <w:left w:w="0" w:type="dxa"/>
            <w:bottom w:w="0" w:type="dxa"/>
            <w:right w:w="0" w:type="dxa"/>
          </w:tblCellMar>
        </w:tblPrEx>
        <w:trPr>
          <w:trHeight w:val="843"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7C3E28">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rPr>
              <w:t>供应商名称</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09134A01">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14:paraId="21A83B1D">
        <w:tblPrEx>
          <w:tblCellMar>
            <w:top w:w="0" w:type="dxa"/>
            <w:left w:w="0" w:type="dxa"/>
            <w:bottom w:w="0" w:type="dxa"/>
            <w:right w:w="0" w:type="dxa"/>
          </w:tblCellMar>
        </w:tblPrEx>
        <w:trPr>
          <w:trHeight w:val="99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EF8688">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响应范围</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FD70FF">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6B314092">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51FE5B26">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响应总报价</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71E38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元整</w:t>
            </w:r>
          </w:p>
          <w:p w14:paraId="32F4627F">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w:t>
            </w:r>
          </w:p>
        </w:tc>
      </w:tr>
      <w:tr w14:paraId="2BD261EB">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31B9E6">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928B92">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29062FC5">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9C5D59">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80A9CA">
            <w:pPr>
              <w:widowControl/>
              <w:spacing w:before="100" w:beforeAutospacing="1" w:after="100" w:afterAutospacing="1" w:line="560" w:lineRule="exact"/>
              <w:rPr>
                <w:rFonts w:ascii="仿宋_GB2312" w:hAnsi="仿宋_GB2312" w:eastAsia="仿宋_GB2312" w:cs="仿宋_GB2312"/>
                <w:kern w:val="0"/>
                <w:sz w:val="32"/>
                <w:szCs w:val="32"/>
              </w:rPr>
            </w:pPr>
          </w:p>
        </w:tc>
      </w:tr>
      <w:tr w14:paraId="61826127">
        <w:tblPrEx>
          <w:tblCellMar>
            <w:top w:w="0" w:type="dxa"/>
            <w:left w:w="0" w:type="dxa"/>
            <w:bottom w:w="0" w:type="dxa"/>
            <w:right w:w="0" w:type="dxa"/>
          </w:tblCellMar>
        </w:tblPrEx>
        <w:trPr>
          <w:trHeight w:val="758" w:hRule="atLeast"/>
          <w:jc w:val="center"/>
        </w:trPr>
        <w:tc>
          <w:tcPr>
            <w:tcW w:w="948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A7FEB2A">
            <w:pPr>
              <w:widowControl/>
              <w:spacing w:before="100" w:beforeAutospacing="1" w:after="100" w:afterAutospacing="1"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其他说明：</w:t>
            </w:r>
            <w:r>
              <w:rPr>
                <w:rFonts w:hint="eastAsia" w:ascii="仿宋_GB2312" w:hAnsi="仿宋_GB2312" w:eastAsia="仿宋_GB2312" w:cs="仿宋_GB2312"/>
                <w:b/>
                <w:color w:val="FF0000"/>
                <w:kern w:val="0"/>
                <w:sz w:val="32"/>
                <w:szCs w:val="32"/>
              </w:rPr>
              <w:t>供应商报价合计不得超过最高投标限价</w:t>
            </w:r>
            <w:r>
              <w:rPr>
                <w:rFonts w:hint="eastAsia" w:ascii="仿宋_GB2312" w:hAnsi="仿宋_GB2312" w:eastAsia="仿宋_GB2312" w:cs="仿宋_GB2312"/>
                <w:b/>
                <w:bCs/>
                <w:color w:val="FF0000"/>
                <w:kern w:val="0"/>
                <w:sz w:val="32"/>
                <w:szCs w:val="32"/>
              </w:rPr>
              <w:t>否</w:t>
            </w:r>
            <w:r>
              <w:rPr>
                <w:rFonts w:hint="eastAsia" w:ascii="仿宋_GB2312" w:hAnsi="仿宋_GB2312" w:eastAsia="仿宋_GB2312" w:cs="仿宋_GB2312"/>
                <w:b/>
                <w:color w:val="FF0000"/>
                <w:kern w:val="0"/>
                <w:sz w:val="32"/>
                <w:szCs w:val="32"/>
              </w:rPr>
              <w:t>则将会被否决响应。</w:t>
            </w:r>
          </w:p>
        </w:tc>
      </w:tr>
    </w:tbl>
    <w:p w14:paraId="31C70AC2">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1291F40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供应商：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565AB2A7">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77A8E9E8">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5E56C241">
      <w:pPr>
        <w:widowControl/>
        <w:jc w:val="left"/>
        <w:rPr>
          <w:rFonts w:ascii="黑体" w:hAnsi="黑体" w:eastAsia="黑体" w:cs="黑体"/>
          <w:color w:val="000000"/>
          <w:kern w:val="0"/>
          <w:sz w:val="32"/>
          <w:szCs w:val="32"/>
        </w:rPr>
      </w:pPr>
      <w:bookmarkStart w:id="24" w:name="_Hlt533408916"/>
      <w:bookmarkEnd w:id="24"/>
      <w:bookmarkStart w:id="25" w:name="_Toc516969097"/>
      <w:bookmarkEnd w:id="25"/>
      <w:bookmarkStart w:id="26" w:name="_Toc197934563"/>
      <w:bookmarkEnd w:id="26"/>
      <w:bookmarkStart w:id="27" w:name="_Toc269135710"/>
      <w:bookmarkEnd w:id="27"/>
      <w:bookmarkStart w:id="28" w:name="_Hlt509716873"/>
      <w:bookmarkEnd w:id="28"/>
      <w:bookmarkStart w:id="29" w:name="_Toc282517742"/>
      <w:bookmarkEnd w:id="29"/>
      <w:bookmarkStart w:id="30" w:name="_Hlt533409360"/>
      <w:bookmarkEnd w:id="30"/>
      <w:bookmarkStart w:id="31" w:name="_Hlt519045798"/>
      <w:bookmarkEnd w:id="31"/>
      <w:bookmarkStart w:id="32" w:name="_Hlt533408409"/>
      <w:bookmarkEnd w:id="32"/>
      <w:r>
        <w:rPr>
          <w:rFonts w:ascii="黑体" w:hAnsi="黑体" w:eastAsia="黑体" w:cs="黑体"/>
          <w:color w:val="000000"/>
          <w:kern w:val="0"/>
          <w:sz w:val="32"/>
          <w:szCs w:val="32"/>
        </w:rPr>
        <w:br w:type="page"/>
      </w:r>
    </w:p>
    <w:p w14:paraId="785EB815">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3" w:name="_Toc587"/>
      <w:r>
        <w:rPr>
          <w:rFonts w:hint="eastAsia" w:ascii="黑体" w:hAnsi="黑体" w:eastAsia="黑体" w:cs="黑体"/>
          <w:color w:val="000000"/>
          <w:kern w:val="0"/>
          <w:sz w:val="32"/>
          <w:szCs w:val="32"/>
        </w:rPr>
        <w:t>二、响应函</w:t>
      </w:r>
      <w:bookmarkEnd w:id="33"/>
    </w:p>
    <w:p w14:paraId="5B063F05">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（采购人）</w:t>
      </w:r>
    </w:p>
    <w:p w14:paraId="23F4B856">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1、根据贵单位发布的询比邀请书和询比文件，我们决定参加你们组织的“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”的询比活动。</w:t>
      </w:r>
    </w:p>
    <w:p w14:paraId="25E8E19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2、我方愿意按照询比文件约定的各项要求，向采购人提供所需的服务，投标总报价为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56E30D35">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u w:val="single"/>
        </w:rPr>
        <w:t xml:space="preserve">               </w:t>
      </w:r>
      <w:r>
        <w:rPr>
          <w:rFonts w:hint="eastAsia" w:ascii="仿宋_GB2312" w:hAnsi="仿宋_GB2312" w:eastAsia="仿宋_GB2312" w:cs="仿宋_GB2312"/>
          <w:color w:val="000000"/>
          <w:kern w:val="0"/>
          <w:sz w:val="32"/>
          <w:szCs w:val="32"/>
        </w:rPr>
        <w:t>。</w:t>
      </w:r>
    </w:p>
    <w:p w14:paraId="5E4D78D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4、我方同意按照询比文件的要求，向贵方提交金额为人民币（大写）</w:t>
      </w:r>
      <w:r>
        <w:rPr>
          <w:rFonts w:hint="eastAsia" w:hAnsi="宋体" w:cs="宋体"/>
          <w:color w:val="000000"/>
          <w:szCs w:val="21"/>
          <w:u w:val="single"/>
        </w:rPr>
        <w:t xml:space="preserve">     </w:t>
      </w:r>
      <w:r>
        <w:rPr>
          <w:rFonts w:hint="eastAsia" w:hAnsi="宋体" w:cs="宋体"/>
          <w:color w:val="000000"/>
          <w:sz w:val="32"/>
          <w:szCs w:val="32"/>
          <w:u w:val="single"/>
        </w:rPr>
        <w:t>零元</w:t>
      </w:r>
      <w:r>
        <w:rPr>
          <w:rFonts w:hint="eastAsia" w:hAnsi="宋体" w:cs="宋体"/>
          <w:color w:val="000000"/>
          <w:szCs w:val="21"/>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的询比响应保证金，并且承诺遵守询比文件中有关询比响应保证金的约定。。</w:t>
      </w:r>
    </w:p>
    <w:p w14:paraId="06E96329">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5、我方愿意提供贵方可能另外要求的、与询比响应有关的文件资料，并保证我方已提供和将要提供的文件是真实的、准确的。</w:t>
      </w:r>
    </w:p>
    <w:p w14:paraId="12732464">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2FC77978">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7、我公司理解并尊重采购人拥有在签订合同前要求进行进一步商务谈判、并要求我公司给予优惠的权利，我公司将积极给予配合。</w:t>
      </w:r>
    </w:p>
    <w:p w14:paraId="770D207E">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rPr>
        <w:t>询比响应文件一式两份，其中正本一份、副本两份，电子版扫描件U盘一份。</w:t>
      </w:r>
    </w:p>
    <w:p w14:paraId="479BAA3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7DB4F5F3">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26C9FF3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01BD3AA1">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56209E5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3AC1FC6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37CD938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3A39782D">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供应商开户行：</w:t>
      </w:r>
    </w:p>
    <w:p w14:paraId="0D519F1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09DC5B6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041238A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17C668A">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37F3BFFE">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E6C531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023FFC7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0F8D3588">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2E4FA0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08C9584">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08EBA313">
      <w:pPr>
        <w:pStyle w:val="21"/>
      </w:pPr>
    </w:p>
    <w:p w14:paraId="4AF0D154">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4" w:name="_Toc30891"/>
      <w:r>
        <w:rPr>
          <w:rFonts w:hint="eastAsia" w:ascii="黑体" w:hAnsi="黑体" w:eastAsia="黑体" w:cs="黑体"/>
          <w:color w:val="000000"/>
          <w:kern w:val="0"/>
          <w:sz w:val="32"/>
          <w:szCs w:val="32"/>
        </w:rPr>
        <w:t>三、承诺书</w:t>
      </w:r>
      <w:bookmarkEnd w:id="34"/>
    </w:p>
    <w:p w14:paraId="7E398158">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4163120A">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3E2163BF">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32023E83">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56F90233">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4E20235D">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073A416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21BD1584">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供应商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814D2E0">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1630138B">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66C929A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65FF6EF">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096D2151">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C70C017">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4786E7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31FA509">
      <w:pPr>
        <w:widowControl/>
        <w:shd w:val="clear" w:color="auto" w:fill="FFFFFF"/>
        <w:spacing w:before="100" w:beforeAutospacing="1" w:after="100" w:afterAutospacing="1" w:line="560" w:lineRule="exact"/>
        <w:jc w:val="both"/>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bookmarkStart w:id="35" w:name="_Toc246150332"/>
      <w:bookmarkEnd w:id="35"/>
      <w:bookmarkStart w:id="36" w:name="_Hlt509739007"/>
      <w:bookmarkEnd w:id="36"/>
      <w:bookmarkStart w:id="37" w:name="_Toc282517745"/>
      <w:bookmarkEnd w:id="37"/>
      <w:bookmarkStart w:id="38" w:name="_Toc258576443"/>
      <w:bookmarkEnd w:id="38"/>
    </w:p>
    <w:p w14:paraId="5321C0F1">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6AC9E9E1">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9" w:name="_Toc18070"/>
      <w:r>
        <w:rPr>
          <w:rFonts w:hint="eastAsia" w:ascii="黑体" w:hAnsi="黑体" w:eastAsia="黑体" w:cs="黑体"/>
          <w:color w:val="000000"/>
          <w:kern w:val="0"/>
          <w:sz w:val="32"/>
          <w:szCs w:val="32"/>
        </w:rPr>
        <w:t>四、法人身份证明和授权委托书</w:t>
      </w:r>
      <w:bookmarkEnd w:id="39"/>
    </w:p>
    <w:p w14:paraId="1072732D">
      <w:pPr>
        <w:spacing w:line="480" w:lineRule="auto"/>
        <w:ind w:firstLine="560" w:firstLineChars="200"/>
        <w:rPr>
          <w:rFonts w:ascii="宋体" w:hAnsi="宋体"/>
          <w:color w:val="000000"/>
          <w:sz w:val="28"/>
          <w:szCs w:val="28"/>
        </w:rPr>
      </w:pPr>
      <w:r>
        <w:rPr>
          <w:rFonts w:hint="eastAsia" w:ascii="宋体" w:hAnsi="宋体"/>
          <w:color w:val="000000"/>
          <w:sz w:val="28"/>
          <w:szCs w:val="28"/>
        </w:rPr>
        <w:t>供应商名称：</w:t>
      </w:r>
      <w:r>
        <w:rPr>
          <w:rFonts w:hint="eastAsia" w:ascii="宋体" w:hAnsi="宋体"/>
          <w:color w:val="000000"/>
          <w:sz w:val="28"/>
          <w:szCs w:val="28"/>
          <w:u w:val="single"/>
        </w:rPr>
        <w:t xml:space="preserve">                            </w:t>
      </w:r>
    </w:p>
    <w:p w14:paraId="35145A0C">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7D10EDE8">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0BD0E66F">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2452AC2E">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10F9FEC3">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3E8C3BB7">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（供应商名称）的法定代表人。</w:t>
      </w:r>
    </w:p>
    <w:p w14:paraId="11F66314">
      <w:pPr>
        <w:spacing w:line="480" w:lineRule="auto"/>
        <w:ind w:firstLine="560" w:firstLineChars="200"/>
        <w:rPr>
          <w:rFonts w:ascii="宋体" w:hAnsi="宋体"/>
          <w:color w:val="000000"/>
          <w:sz w:val="28"/>
          <w:szCs w:val="28"/>
        </w:rPr>
      </w:pPr>
    </w:p>
    <w:p w14:paraId="0BF8642C">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30D31F5A">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17841B80">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890" t="10795" r="10160" b="8255"/>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2CDB8631">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2CDB8631">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890" t="10795" r="10160" b="8255"/>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29035E1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29035E1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4DE8AADC">
      <w:pPr>
        <w:spacing w:line="300" w:lineRule="auto"/>
        <w:ind w:firstLine="480" w:firstLineChars="200"/>
        <w:rPr>
          <w:rFonts w:ascii="宋体" w:hAnsi="宋体"/>
          <w:color w:val="000000"/>
          <w:sz w:val="24"/>
          <w:szCs w:val="24"/>
        </w:rPr>
      </w:pPr>
    </w:p>
    <w:p w14:paraId="59EA91A8">
      <w:pPr>
        <w:spacing w:line="300" w:lineRule="auto"/>
        <w:ind w:firstLine="480" w:firstLineChars="200"/>
        <w:rPr>
          <w:rFonts w:ascii="宋体" w:hAnsi="宋体"/>
          <w:color w:val="000000"/>
          <w:sz w:val="24"/>
          <w:szCs w:val="24"/>
        </w:rPr>
      </w:pPr>
    </w:p>
    <w:p w14:paraId="0D641480">
      <w:pPr>
        <w:spacing w:line="300" w:lineRule="auto"/>
        <w:ind w:firstLine="480" w:firstLineChars="200"/>
        <w:rPr>
          <w:rFonts w:ascii="宋体" w:hAnsi="宋体"/>
          <w:color w:val="000000"/>
          <w:sz w:val="24"/>
          <w:szCs w:val="24"/>
        </w:rPr>
      </w:pPr>
    </w:p>
    <w:p w14:paraId="50B497D2">
      <w:pPr>
        <w:spacing w:line="300" w:lineRule="auto"/>
        <w:ind w:firstLine="480" w:firstLineChars="200"/>
        <w:rPr>
          <w:rFonts w:ascii="宋体" w:hAnsi="宋体"/>
          <w:color w:val="000000"/>
          <w:sz w:val="24"/>
          <w:szCs w:val="24"/>
        </w:rPr>
      </w:pPr>
    </w:p>
    <w:p w14:paraId="4B25F86E">
      <w:pPr>
        <w:spacing w:line="300" w:lineRule="auto"/>
        <w:ind w:firstLine="480" w:firstLineChars="200"/>
        <w:rPr>
          <w:rFonts w:ascii="宋体" w:hAnsi="宋体"/>
          <w:color w:val="000000"/>
          <w:sz w:val="24"/>
          <w:szCs w:val="24"/>
        </w:rPr>
      </w:pPr>
    </w:p>
    <w:p w14:paraId="2626755C">
      <w:pPr>
        <w:spacing w:line="300" w:lineRule="auto"/>
        <w:ind w:firstLine="480" w:firstLineChars="200"/>
        <w:rPr>
          <w:rFonts w:ascii="宋体" w:hAnsi="宋体"/>
          <w:color w:val="000000"/>
          <w:sz w:val="24"/>
          <w:szCs w:val="24"/>
        </w:rPr>
      </w:pPr>
    </w:p>
    <w:p w14:paraId="001F1B63">
      <w:pPr>
        <w:spacing w:line="300" w:lineRule="auto"/>
        <w:ind w:firstLine="480" w:firstLineChars="200"/>
        <w:rPr>
          <w:rFonts w:ascii="宋体" w:hAnsi="宋体"/>
          <w:color w:val="000000"/>
          <w:sz w:val="24"/>
          <w:szCs w:val="24"/>
        </w:rPr>
      </w:pPr>
    </w:p>
    <w:p w14:paraId="78036EAB">
      <w:pPr>
        <w:spacing w:line="300" w:lineRule="auto"/>
        <w:ind w:firstLine="480" w:firstLineChars="200"/>
        <w:rPr>
          <w:rFonts w:ascii="宋体" w:hAnsi="宋体"/>
          <w:color w:val="000000"/>
          <w:sz w:val="24"/>
          <w:szCs w:val="24"/>
        </w:rPr>
      </w:pPr>
    </w:p>
    <w:p w14:paraId="23843118">
      <w:pPr>
        <w:spacing w:line="300" w:lineRule="auto"/>
        <w:ind w:firstLine="1312" w:firstLineChars="547"/>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53DA4E58">
      <w:pPr>
        <w:spacing w:line="300" w:lineRule="auto"/>
        <w:ind w:firstLine="5160" w:firstLineChars="2150"/>
        <w:rPr>
          <w:rFonts w:ascii="宋体" w:hAnsi="宋体"/>
          <w:color w:val="000000"/>
          <w:sz w:val="24"/>
          <w:szCs w:val="24"/>
          <w:u w:val="single"/>
        </w:rPr>
      </w:pPr>
    </w:p>
    <w:p w14:paraId="20919872">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65D14E77">
      <w:pPr>
        <w:jc w:val="left"/>
        <w:rPr>
          <w:rFonts w:ascii="宋体" w:hAnsi="宋体"/>
          <w:color w:val="000000"/>
          <w:sz w:val="24"/>
          <w:szCs w:val="24"/>
        </w:rPr>
      </w:pPr>
    </w:p>
    <w:p w14:paraId="7FA5E316">
      <w:pPr>
        <w:jc w:val="left"/>
        <w:rPr>
          <w:rFonts w:ascii="宋体" w:hAnsi="宋体"/>
          <w:color w:val="000000"/>
          <w:sz w:val="24"/>
          <w:szCs w:val="24"/>
        </w:rPr>
      </w:pPr>
    </w:p>
    <w:p w14:paraId="7DD836AB">
      <w:pPr>
        <w:rPr>
          <w:rFonts w:ascii="Times New Roman" w:hAnsi="Times New Roman"/>
          <w:color w:val="000000"/>
          <w:szCs w:val="20"/>
        </w:rPr>
      </w:pPr>
    </w:p>
    <w:p w14:paraId="6C48BF28">
      <w:pPr>
        <w:rPr>
          <w:rFonts w:ascii="Times New Roman" w:hAnsi="Times New Roman"/>
          <w:color w:val="000000"/>
          <w:szCs w:val="20"/>
        </w:rPr>
      </w:pPr>
    </w:p>
    <w:p w14:paraId="0E5CA5AC">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7BD6235A">
      <w:pPr>
        <w:spacing w:after="120"/>
        <w:ind w:left="420" w:leftChars="200" w:firstLine="560" w:firstLineChars="200"/>
        <w:rPr>
          <w:rFonts w:ascii="宋体" w:hAnsi="宋体"/>
          <w:color w:val="000000"/>
          <w:sz w:val="28"/>
          <w:szCs w:val="28"/>
        </w:rPr>
      </w:pPr>
    </w:p>
    <w:p w14:paraId="0B9A51AE">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项目询比文件、签订合同和处理有关事宜，其法律后果我方承担。</w:t>
      </w:r>
    </w:p>
    <w:p w14:paraId="6831E889">
      <w:pPr>
        <w:spacing w:line="440" w:lineRule="exact"/>
        <w:rPr>
          <w:rFonts w:ascii="宋体" w:hAnsi="宋体"/>
          <w:color w:val="000000"/>
          <w:sz w:val="28"/>
          <w:szCs w:val="28"/>
        </w:rPr>
      </w:pPr>
      <w:r>
        <w:rPr>
          <w:rFonts w:hint="eastAsia" w:ascii="宋体" w:hAnsi="宋体"/>
          <w:color w:val="000000"/>
          <w:sz w:val="28"/>
          <w:szCs w:val="28"/>
        </w:rPr>
        <w:t xml:space="preserve">   </w:t>
      </w:r>
    </w:p>
    <w:p w14:paraId="6CB5CDE4">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36B7EA99">
      <w:pPr>
        <w:spacing w:line="440" w:lineRule="exact"/>
        <w:ind w:firstLine="560" w:firstLineChars="200"/>
        <w:rPr>
          <w:rFonts w:ascii="宋体" w:hAnsi="宋体"/>
          <w:color w:val="000000"/>
          <w:sz w:val="28"/>
          <w:szCs w:val="28"/>
        </w:rPr>
      </w:pPr>
      <w:r>
        <w:rPr>
          <w:rFonts w:hint="eastAsia" w:ascii="宋体" w:hAnsi="宋体"/>
          <w:color w:val="000000"/>
          <w:sz w:val="28"/>
          <w:szCs w:val="28"/>
        </w:rPr>
        <w:t>供应商:</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63C2CB55">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4AD56092">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686B66CD">
      <w:pPr>
        <w:spacing w:line="440" w:lineRule="exact"/>
        <w:ind w:firstLine="560" w:firstLineChars="200"/>
        <w:rPr>
          <w:rFonts w:ascii="宋体" w:hAnsi="宋体"/>
          <w:color w:val="000000"/>
          <w:sz w:val="28"/>
          <w:szCs w:val="28"/>
        </w:rPr>
      </w:pPr>
    </w:p>
    <w:p w14:paraId="696DA5BA">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11743AC3">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7AB34D6E">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32F63444">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66655D3D">
      <w:pPr>
        <w:spacing w:line="440" w:lineRule="exact"/>
        <w:ind w:firstLine="560" w:firstLineChars="200"/>
        <w:rPr>
          <w:rFonts w:ascii="宋体" w:hAnsi="宋体"/>
          <w:color w:val="000000"/>
          <w:sz w:val="28"/>
          <w:szCs w:val="28"/>
        </w:rPr>
      </w:pPr>
    </w:p>
    <w:p w14:paraId="1658B4D9">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0B6582D6">
      <w:pPr>
        <w:spacing w:line="440" w:lineRule="exact"/>
        <w:ind w:firstLine="560" w:firstLineChars="200"/>
        <w:rPr>
          <w:rFonts w:ascii="宋体" w:hAnsi="宋体"/>
          <w:color w:val="000000"/>
          <w:sz w:val="28"/>
          <w:szCs w:val="28"/>
        </w:rPr>
      </w:pPr>
    </w:p>
    <w:p w14:paraId="640A7A81">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0E817568">
      <w:pPr>
        <w:spacing w:after="120"/>
        <w:ind w:left="420" w:leftChars="200" w:firstLine="560" w:firstLineChars="200"/>
        <w:rPr>
          <w:rFonts w:ascii="宋体" w:hAnsi="宋体"/>
          <w:color w:val="000000"/>
          <w:sz w:val="28"/>
          <w:szCs w:val="28"/>
        </w:rPr>
      </w:pPr>
    </w:p>
    <w:p w14:paraId="4B2B23AC">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8890" t="8890" r="10160" b="1016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54B31F3">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154B31F3">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8890" t="8890" r="10160" b="1016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742DC34">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3742DC34">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27A9003C">
      <w:pPr>
        <w:spacing w:line="360" w:lineRule="auto"/>
        <w:ind w:firstLine="560" w:firstLineChars="200"/>
        <w:rPr>
          <w:rFonts w:ascii="宋体" w:hAnsi="宋体"/>
          <w:color w:val="000000"/>
          <w:sz w:val="28"/>
          <w:szCs w:val="28"/>
        </w:rPr>
      </w:pPr>
    </w:p>
    <w:p w14:paraId="299FEE4B">
      <w:pPr>
        <w:spacing w:line="360" w:lineRule="auto"/>
        <w:ind w:firstLine="560" w:firstLineChars="200"/>
        <w:rPr>
          <w:rFonts w:ascii="宋体" w:hAnsi="宋体"/>
          <w:color w:val="000000"/>
          <w:sz w:val="28"/>
          <w:szCs w:val="28"/>
        </w:rPr>
      </w:pPr>
    </w:p>
    <w:p w14:paraId="2EBBD1FE">
      <w:pPr>
        <w:spacing w:line="360" w:lineRule="auto"/>
        <w:ind w:firstLine="560" w:firstLineChars="200"/>
        <w:rPr>
          <w:rFonts w:ascii="宋体" w:hAnsi="宋体"/>
          <w:color w:val="000000"/>
          <w:sz w:val="28"/>
          <w:szCs w:val="28"/>
        </w:rPr>
      </w:pPr>
    </w:p>
    <w:p w14:paraId="62B5986A">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4D9FE77A">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0" w:name="_Toc28230"/>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询比</w:t>
      </w:r>
      <w:r>
        <w:rPr>
          <w:rFonts w:hint="eastAsia" w:ascii="黑体" w:hAnsi="黑体" w:eastAsia="黑体" w:cs="黑体"/>
          <w:color w:val="000000"/>
          <w:kern w:val="0"/>
          <w:sz w:val="32"/>
          <w:szCs w:val="32"/>
        </w:rPr>
        <w:t>内容要求响应表</w:t>
      </w:r>
    </w:p>
    <w:p w14:paraId="35EE2024">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25D94D75">
      <w:pPr>
        <w:spacing w:line="460" w:lineRule="exact"/>
        <w:rPr>
          <w:rFonts w:ascii="宋体" w:hAnsi="宋体"/>
          <w:b/>
          <w:color w:val="000000"/>
          <w:sz w:val="24"/>
          <w:szCs w:val="24"/>
        </w:rPr>
      </w:pPr>
    </w:p>
    <w:tbl>
      <w:tblPr>
        <w:tblStyle w:val="23"/>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785"/>
        <w:gridCol w:w="1188"/>
        <w:gridCol w:w="2156"/>
        <w:gridCol w:w="1080"/>
        <w:gridCol w:w="1039"/>
      </w:tblGrid>
      <w:tr w14:paraId="4910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278" w:type="dxa"/>
            <w:gridSpan w:val="3"/>
            <w:vAlign w:val="center"/>
          </w:tcPr>
          <w:p w14:paraId="355F0A24">
            <w:pPr>
              <w:spacing w:line="460" w:lineRule="exact"/>
              <w:jc w:val="center"/>
              <w:rPr>
                <w:rFonts w:ascii="宋体" w:hAnsi="宋体"/>
                <w:b/>
                <w:color w:val="000000"/>
                <w:sz w:val="24"/>
                <w:szCs w:val="24"/>
              </w:rPr>
            </w:pPr>
            <w:r>
              <w:rPr>
                <w:rFonts w:hint="eastAsia" w:ascii="宋体" w:hAnsi="宋体"/>
                <w:b/>
                <w:color w:val="000000"/>
                <w:sz w:val="24"/>
                <w:szCs w:val="24"/>
              </w:rPr>
              <w:t>按询比文件规定填写</w:t>
            </w:r>
          </w:p>
        </w:tc>
        <w:tc>
          <w:tcPr>
            <w:tcW w:w="5463" w:type="dxa"/>
            <w:gridSpan w:val="4"/>
            <w:vAlign w:val="center"/>
          </w:tcPr>
          <w:p w14:paraId="4DF57258">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5AA1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4A00622D">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50845F7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785" w:type="dxa"/>
            <w:vAlign w:val="center"/>
          </w:tcPr>
          <w:p w14:paraId="0DD6E58F">
            <w:pPr>
              <w:spacing w:line="460" w:lineRule="exact"/>
              <w:jc w:val="center"/>
              <w:rPr>
                <w:rFonts w:ascii="宋体" w:hAnsi="宋体"/>
                <w:b/>
                <w:color w:val="000000"/>
                <w:sz w:val="24"/>
                <w:szCs w:val="24"/>
              </w:rPr>
            </w:pPr>
            <w:r>
              <w:rPr>
                <w:rFonts w:hint="eastAsia" w:ascii="宋体" w:hAnsi="宋体"/>
                <w:b/>
                <w:color w:val="000000"/>
                <w:sz w:val="24"/>
                <w:szCs w:val="24"/>
                <w:lang w:val="en-US" w:eastAsia="zh-CN"/>
              </w:rPr>
              <w:t>服务</w:t>
            </w:r>
            <w:r>
              <w:rPr>
                <w:rFonts w:hint="eastAsia" w:ascii="宋体" w:hAnsi="宋体"/>
                <w:b/>
                <w:color w:val="000000"/>
                <w:sz w:val="24"/>
                <w:szCs w:val="24"/>
              </w:rPr>
              <w:t>内容要求</w:t>
            </w:r>
          </w:p>
        </w:tc>
        <w:tc>
          <w:tcPr>
            <w:tcW w:w="1188" w:type="dxa"/>
            <w:vAlign w:val="center"/>
          </w:tcPr>
          <w:p w14:paraId="63CCDD86">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2156" w:type="dxa"/>
            <w:vAlign w:val="center"/>
          </w:tcPr>
          <w:p w14:paraId="69B92764">
            <w:pPr>
              <w:spacing w:line="460" w:lineRule="exact"/>
              <w:jc w:val="center"/>
              <w:rPr>
                <w:rFonts w:ascii="宋体" w:hAnsi="宋体"/>
                <w:b/>
                <w:color w:val="000000"/>
                <w:sz w:val="24"/>
                <w:szCs w:val="24"/>
              </w:rPr>
            </w:pPr>
            <w:r>
              <w:rPr>
                <w:rFonts w:hint="eastAsia" w:ascii="宋体" w:hAnsi="宋体"/>
                <w:b/>
                <w:color w:val="000000"/>
                <w:sz w:val="24"/>
                <w:szCs w:val="24"/>
              </w:rPr>
              <w:t>响应服务内容要求</w:t>
            </w:r>
          </w:p>
        </w:tc>
        <w:tc>
          <w:tcPr>
            <w:tcW w:w="1080" w:type="dxa"/>
            <w:vAlign w:val="center"/>
          </w:tcPr>
          <w:p w14:paraId="47612094">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59F52306">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66F1CC4B">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7A1B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647F9E0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4CD9B505">
            <w:pPr>
              <w:spacing w:line="460" w:lineRule="exact"/>
              <w:rPr>
                <w:rFonts w:ascii="宋体" w:hAnsi="宋体"/>
                <w:color w:val="000000"/>
                <w:sz w:val="24"/>
                <w:szCs w:val="24"/>
              </w:rPr>
            </w:pPr>
          </w:p>
        </w:tc>
        <w:tc>
          <w:tcPr>
            <w:tcW w:w="1785" w:type="dxa"/>
          </w:tcPr>
          <w:p w14:paraId="3EAD4CE4">
            <w:pPr>
              <w:spacing w:line="460" w:lineRule="exact"/>
              <w:rPr>
                <w:rFonts w:ascii="宋体" w:hAnsi="宋体"/>
                <w:color w:val="000000"/>
                <w:sz w:val="24"/>
                <w:szCs w:val="24"/>
              </w:rPr>
            </w:pPr>
          </w:p>
        </w:tc>
        <w:tc>
          <w:tcPr>
            <w:tcW w:w="1188" w:type="dxa"/>
          </w:tcPr>
          <w:p w14:paraId="49B37F9E">
            <w:pPr>
              <w:spacing w:line="460" w:lineRule="exact"/>
              <w:rPr>
                <w:rFonts w:ascii="宋体" w:hAnsi="宋体"/>
                <w:color w:val="000000"/>
                <w:sz w:val="24"/>
                <w:szCs w:val="24"/>
              </w:rPr>
            </w:pPr>
          </w:p>
        </w:tc>
        <w:tc>
          <w:tcPr>
            <w:tcW w:w="2156" w:type="dxa"/>
          </w:tcPr>
          <w:p w14:paraId="306252AE">
            <w:pPr>
              <w:spacing w:line="460" w:lineRule="exact"/>
              <w:rPr>
                <w:rFonts w:ascii="宋体" w:hAnsi="宋体"/>
                <w:color w:val="000000"/>
                <w:sz w:val="24"/>
                <w:szCs w:val="24"/>
              </w:rPr>
            </w:pPr>
          </w:p>
        </w:tc>
        <w:tc>
          <w:tcPr>
            <w:tcW w:w="1080" w:type="dxa"/>
          </w:tcPr>
          <w:p w14:paraId="05360AD7">
            <w:pPr>
              <w:spacing w:line="460" w:lineRule="exact"/>
              <w:rPr>
                <w:rFonts w:ascii="宋体" w:hAnsi="宋体"/>
                <w:color w:val="000000"/>
                <w:sz w:val="24"/>
                <w:szCs w:val="24"/>
              </w:rPr>
            </w:pPr>
          </w:p>
        </w:tc>
        <w:tc>
          <w:tcPr>
            <w:tcW w:w="1039" w:type="dxa"/>
          </w:tcPr>
          <w:p w14:paraId="2A43E998">
            <w:pPr>
              <w:spacing w:line="460" w:lineRule="exact"/>
              <w:rPr>
                <w:rFonts w:ascii="宋体" w:hAnsi="宋体"/>
                <w:color w:val="000000"/>
                <w:sz w:val="24"/>
                <w:szCs w:val="24"/>
              </w:rPr>
            </w:pPr>
          </w:p>
        </w:tc>
      </w:tr>
      <w:tr w14:paraId="798A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C4DA9FB">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3D1D642">
            <w:pPr>
              <w:spacing w:line="460" w:lineRule="exact"/>
              <w:rPr>
                <w:rFonts w:ascii="宋体" w:hAnsi="宋体"/>
                <w:color w:val="000000"/>
                <w:sz w:val="24"/>
                <w:szCs w:val="24"/>
              </w:rPr>
            </w:pPr>
          </w:p>
        </w:tc>
        <w:tc>
          <w:tcPr>
            <w:tcW w:w="1785" w:type="dxa"/>
          </w:tcPr>
          <w:p w14:paraId="3BE5B52F">
            <w:pPr>
              <w:spacing w:line="460" w:lineRule="exact"/>
              <w:rPr>
                <w:rFonts w:ascii="宋体" w:hAnsi="宋体"/>
                <w:color w:val="000000"/>
                <w:sz w:val="24"/>
                <w:szCs w:val="24"/>
              </w:rPr>
            </w:pPr>
          </w:p>
        </w:tc>
        <w:tc>
          <w:tcPr>
            <w:tcW w:w="1188" w:type="dxa"/>
          </w:tcPr>
          <w:p w14:paraId="413CBB4C">
            <w:pPr>
              <w:spacing w:line="460" w:lineRule="exact"/>
              <w:rPr>
                <w:rFonts w:ascii="宋体" w:hAnsi="宋体"/>
                <w:color w:val="000000"/>
                <w:sz w:val="24"/>
                <w:szCs w:val="24"/>
              </w:rPr>
            </w:pPr>
          </w:p>
        </w:tc>
        <w:tc>
          <w:tcPr>
            <w:tcW w:w="2156" w:type="dxa"/>
          </w:tcPr>
          <w:p w14:paraId="53E68EA4">
            <w:pPr>
              <w:spacing w:line="460" w:lineRule="exact"/>
              <w:rPr>
                <w:rFonts w:ascii="宋体" w:hAnsi="宋体"/>
                <w:color w:val="000000"/>
                <w:sz w:val="24"/>
                <w:szCs w:val="24"/>
              </w:rPr>
            </w:pPr>
          </w:p>
        </w:tc>
        <w:tc>
          <w:tcPr>
            <w:tcW w:w="1080" w:type="dxa"/>
          </w:tcPr>
          <w:p w14:paraId="474D1561">
            <w:pPr>
              <w:spacing w:line="460" w:lineRule="exact"/>
              <w:rPr>
                <w:rFonts w:ascii="宋体" w:hAnsi="宋体"/>
                <w:color w:val="000000"/>
                <w:sz w:val="24"/>
                <w:szCs w:val="24"/>
              </w:rPr>
            </w:pPr>
          </w:p>
        </w:tc>
        <w:tc>
          <w:tcPr>
            <w:tcW w:w="1039" w:type="dxa"/>
          </w:tcPr>
          <w:p w14:paraId="7E6E0BC7">
            <w:pPr>
              <w:spacing w:line="460" w:lineRule="exact"/>
              <w:rPr>
                <w:rFonts w:ascii="宋体" w:hAnsi="宋体"/>
                <w:color w:val="000000"/>
                <w:sz w:val="24"/>
                <w:szCs w:val="24"/>
              </w:rPr>
            </w:pPr>
          </w:p>
        </w:tc>
      </w:tr>
      <w:tr w14:paraId="33DE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2BF7189E">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29E31057">
            <w:pPr>
              <w:spacing w:line="460" w:lineRule="exact"/>
              <w:rPr>
                <w:rFonts w:ascii="宋体" w:hAnsi="宋体"/>
                <w:color w:val="000000"/>
                <w:sz w:val="24"/>
                <w:szCs w:val="24"/>
              </w:rPr>
            </w:pPr>
          </w:p>
        </w:tc>
        <w:tc>
          <w:tcPr>
            <w:tcW w:w="1785" w:type="dxa"/>
          </w:tcPr>
          <w:p w14:paraId="6CE32C74">
            <w:pPr>
              <w:spacing w:line="460" w:lineRule="exact"/>
              <w:rPr>
                <w:rFonts w:ascii="宋体" w:hAnsi="宋体"/>
                <w:color w:val="000000"/>
                <w:sz w:val="24"/>
                <w:szCs w:val="24"/>
              </w:rPr>
            </w:pPr>
          </w:p>
        </w:tc>
        <w:tc>
          <w:tcPr>
            <w:tcW w:w="1188" w:type="dxa"/>
          </w:tcPr>
          <w:p w14:paraId="4BFA88CD">
            <w:pPr>
              <w:spacing w:line="460" w:lineRule="exact"/>
              <w:rPr>
                <w:rFonts w:ascii="宋体" w:hAnsi="宋体"/>
                <w:color w:val="000000"/>
                <w:sz w:val="24"/>
                <w:szCs w:val="24"/>
              </w:rPr>
            </w:pPr>
          </w:p>
        </w:tc>
        <w:tc>
          <w:tcPr>
            <w:tcW w:w="2156" w:type="dxa"/>
          </w:tcPr>
          <w:p w14:paraId="2E4CB175">
            <w:pPr>
              <w:spacing w:line="460" w:lineRule="exact"/>
              <w:rPr>
                <w:rFonts w:ascii="宋体" w:hAnsi="宋体"/>
                <w:color w:val="000000"/>
                <w:sz w:val="24"/>
                <w:szCs w:val="24"/>
              </w:rPr>
            </w:pPr>
          </w:p>
        </w:tc>
        <w:tc>
          <w:tcPr>
            <w:tcW w:w="1080" w:type="dxa"/>
          </w:tcPr>
          <w:p w14:paraId="159A1B09">
            <w:pPr>
              <w:spacing w:line="460" w:lineRule="exact"/>
              <w:rPr>
                <w:rFonts w:ascii="宋体" w:hAnsi="宋体"/>
                <w:color w:val="000000"/>
                <w:sz w:val="24"/>
                <w:szCs w:val="24"/>
              </w:rPr>
            </w:pPr>
          </w:p>
        </w:tc>
        <w:tc>
          <w:tcPr>
            <w:tcW w:w="1039" w:type="dxa"/>
          </w:tcPr>
          <w:p w14:paraId="373A112C">
            <w:pPr>
              <w:spacing w:line="460" w:lineRule="exact"/>
              <w:rPr>
                <w:rFonts w:ascii="宋体" w:hAnsi="宋体"/>
                <w:color w:val="000000"/>
                <w:sz w:val="24"/>
                <w:szCs w:val="24"/>
              </w:rPr>
            </w:pPr>
          </w:p>
        </w:tc>
      </w:tr>
      <w:tr w14:paraId="4A7F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05A8D14D">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74330652">
            <w:pPr>
              <w:spacing w:line="460" w:lineRule="exact"/>
              <w:rPr>
                <w:rFonts w:ascii="宋体" w:hAnsi="宋体"/>
                <w:color w:val="000000"/>
                <w:sz w:val="24"/>
                <w:szCs w:val="24"/>
              </w:rPr>
            </w:pPr>
          </w:p>
        </w:tc>
        <w:tc>
          <w:tcPr>
            <w:tcW w:w="1785" w:type="dxa"/>
          </w:tcPr>
          <w:p w14:paraId="5EB4A7A9">
            <w:pPr>
              <w:spacing w:line="460" w:lineRule="exact"/>
              <w:rPr>
                <w:rFonts w:ascii="宋体" w:hAnsi="宋体"/>
                <w:color w:val="000000"/>
                <w:sz w:val="24"/>
                <w:szCs w:val="24"/>
              </w:rPr>
            </w:pPr>
          </w:p>
        </w:tc>
        <w:tc>
          <w:tcPr>
            <w:tcW w:w="1188" w:type="dxa"/>
          </w:tcPr>
          <w:p w14:paraId="2A83A9F2">
            <w:pPr>
              <w:spacing w:line="460" w:lineRule="exact"/>
              <w:rPr>
                <w:rFonts w:ascii="宋体" w:hAnsi="宋体"/>
                <w:color w:val="000000"/>
                <w:sz w:val="24"/>
                <w:szCs w:val="24"/>
              </w:rPr>
            </w:pPr>
          </w:p>
        </w:tc>
        <w:tc>
          <w:tcPr>
            <w:tcW w:w="2156" w:type="dxa"/>
          </w:tcPr>
          <w:p w14:paraId="0B505B6D">
            <w:pPr>
              <w:spacing w:line="460" w:lineRule="exact"/>
              <w:rPr>
                <w:rFonts w:ascii="宋体" w:hAnsi="宋体"/>
                <w:color w:val="000000"/>
                <w:sz w:val="24"/>
                <w:szCs w:val="24"/>
              </w:rPr>
            </w:pPr>
          </w:p>
        </w:tc>
        <w:tc>
          <w:tcPr>
            <w:tcW w:w="1080" w:type="dxa"/>
          </w:tcPr>
          <w:p w14:paraId="5E02548D">
            <w:pPr>
              <w:spacing w:line="460" w:lineRule="exact"/>
              <w:rPr>
                <w:rFonts w:ascii="宋体" w:hAnsi="宋体"/>
                <w:color w:val="000000"/>
                <w:sz w:val="24"/>
                <w:szCs w:val="24"/>
              </w:rPr>
            </w:pPr>
          </w:p>
        </w:tc>
        <w:tc>
          <w:tcPr>
            <w:tcW w:w="1039" w:type="dxa"/>
          </w:tcPr>
          <w:p w14:paraId="40B7EACC">
            <w:pPr>
              <w:spacing w:line="460" w:lineRule="exact"/>
              <w:rPr>
                <w:rFonts w:ascii="宋体" w:hAnsi="宋体"/>
                <w:color w:val="000000"/>
                <w:sz w:val="24"/>
                <w:szCs w:val="24"/>
              </w:rPr>
            </w:pPr>
          </w:p>
        </w:tc>
      </w:tr>
      <w:tr w14:paraId="6AAD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C759902">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82B8E46">
            <w:pPr>
              <w:spacing w:line="460" w:lineRule="exact"/>
              <w:rPr>
                <w:rFonts w:ascii="宋体" w:hAnsi="宋体"/>
                <w:color w:val="000000"/>
                <w:sz w:val="24"/>
                <w:szCs w:val="24"/>
              </w:rPr>
            </w:pPr>
          </w:p>
        </w:tc>
        <w:tc>
          <w:tcPr>
            <w:tcW w:w="1785" w:type="dxa"/>
          </w:tcPr>
          <w:p w14:paraId="5B08A891">
            <w:pPr>
              <w:spacing w:line="460" w:lineRule="exact"/>
              <w:rPr>
                <w:rFonts w:ascii="宋体" w:hAnsi="宋体"/>
                <w:color w:val="000000"/>
                <w:sz w:val="24"/>
                <w:szCs w:val="24"/>
              </w:rPr>
            </w:pPr>
          </w:p>
        </w:tc>
        <w:tc>
          <w:tcPr>
            <w:tcW w:w="1188" w:type="dxa"/>
          </w:tcPr>
          <w:p w14:paraId="514E0552">
            <w:pPr>
              <w:spacing w:line="460" w:lineRule="exact"/>
              <w:rPr>
                <w:rFonts w:ascii="宋体" w:hAnsi="宋体"/>
                <w:color w:val="000000"/>
                <w:sz w:val="24"/>
                <w:szCs w:val="24"/>
              </w:rPr>
            </w:pPr>
          </w:p>
        </w:tc>
        <w:tc>
          <w:tcPr>
            <w:tcW w:w="2156" w:type="dxa"/>
          </w:tcPr>
          <w:p w14:paraId="7631E8FB">
            <w:pPr>
              <w:spacing w:line="460" w:lineRule="exact"/>
              <w:rPr>
                <w:rFonts w:ascii="宋体" w:hAnsi="宋体"/>
                <w:color w:val="000000"/>
                <w:sz w:val="24"/>
                <w:szCs w:val="24"/>
              </w:rPr>
            </w:pPr>
          </w:p>
        </w:tc>
        <w:tc>
          <w:tcPr>
            <w:tcW w:w="1080" w:type="dxa"/>
          </w:tcPr>
          <w:p w14:paraId="11FC6CE0">
            <w:pPr>
              <w:spacing w:line="460" w:lineRule="exact"/>
              <w:rPr>
                <w:rFonts w:ascii="宋体" w:hAnsi="宋体"/>
                <w:color w:val="000000"/>
                <w:sz w:val="24"/>
                <w:szCs w:val="24"/>
              </w:rPr>
            </w:pPr>
          </w:p>
        </w:tc>
        <w:tc>
          <w:tcPr>
            <w:tcW w:w="1039" w:type="dxa"/>
          </w:tcPr>
          <w:p w14:paraId="0922CB33">
            <w:pPr>
              <w:spacing w:line="460" w:lineRule="exact"/>
              <w:rPr>
                <w:rFonts w:ascii="宋体" w:hAnsi="宋体"/>
                <w:color w:val="000000"/>
                <w:sz w:val="24"/>
                <w:szCs w:val="24"/>
              </w:rPr>
            </w:pPr>
          </w:p>
        </w:tc>
      </w:tr>
      <w:tr w14:paraId="33F5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478F935">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6D8178DA">
            <w:pPr>
              <w:spacing w:line="460" w:lineRule="exact"/>
              <w:rPr>
                <w:rFonts w:ascii="宋体" w:hAnsi="宋体"/>
                <w:color w:val="000000"/>
                <w:sz w:val="24"/>
                <w:szCs w:val="24"/>
              </w:rPr>
            </w:pPr>
          </w:p>
        </w:tc>
        <w:tc>
          <w:tcPr>
            <w:tcW w:w="1785" w:type="dxa"/>
          </w:tcPr>
          <w:p w14:paraId="399FE7CE">
            <w:pPr>
              <w:spacing w:line="460" w:lineRule="exact"/>
              <w:rPr>
                <w:rFonts w:ascii="宋体" w:hAnsi="宋体"/>
                <w:color w:val="000000"/>
                <w:sz w:val="24"/>
                <w:szCs w:val="24"/>
              </w:rPr>
            </w:pPr>
          </w:p>
        </w:tc>
        <w:tc>
          <w:tcPr>
            <w:tcW w:w="1188" w:type="dxa"/>
          </w:tcPr>
          <w:p w14:paraId="13AF4846">
            <w:pPr>
              <w:spacing w:line="460" w:lineRule="exact"/>
              <w:rPr>
                <w:rFonts w:ascii="宋体" w:hAnsi="宋体"/>
                <w:color w:val="000000"/>
                <w:sz w:val="24"/>
                <w:szCs w:val="24"/>
              </w:rPr>
            </w:pPr>
          </w:p>
        </w:tc>
        <w:tc>
          <w:tcPr>
            <w:tcW w:w="2156" w:type="dxa"/>
          </w:tcPr>
          <w:p w14:paraId="04469BA1">
            <w:pPr>
              <w:spacing w:line="460" w:lineRule="exact"/>
              <w:rPr>
                <w:rFonts w:ascii="宋体" w:hAnsi="宋体"/>
                <w:color w:val="000000"/>
                <w:sz w:val="24"/>
                <w:szCs w:val="24"/>
              </w:rPr>
            </w:pPr>
          </w:p>
        </w:tc>
        <w:tc>
          <w:tcPr>
            <w:tcW w:w="1080" w:type="dxa"/>
          </w:tcPr>
          <w:p w14:paraId="13724ACF">
            <w:pPr>
              <w:spacing w:line="460" w:lineRule="exact"/>
              <w:rPr>
                <w:rFonts w:ascii="宋体" w:hAnsi="宋体"/>
                <w:color w:val="000000"/>
                <w:sz w:val="24"/>
                <w:szCs w:val="24"/>
              </w:rPr>
            </w:pPr>
          </w:p>
        </w:tc>
        <w:tc>
          <w:tcPr>
            <w:tcW w:w="1039" w:type="dxa"/>
          </w:tcPr>
          <w:p w14:paraId="42D94DAC">
            <w:pPr>
              <w:spacing w:line="460" w:lineRule="exact"/>
              <w:rPr>
                <w:rFonts w:ascii="宋体" w:hAnsi="宋体"/>
                <w:color w:val="000000"/>
                <w:sz w:val="24"/>
                <w:szCs w:val="24"/>
              </w:rPr>
            </w:pPr>
          </w:p>
        </w:tc>
      </w:tr>
      <w:tr w14:paraId="7646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6BA5E97">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AA94CE4">
            <w:pPr>
              <w:spacing w:line="460" w:lineRule="exact"/>
              <w:rPr>
                <w:rFonts w:ascii="宋体" w:hAnsi="宋体"/>
                <w:color w:val="000000"/>
                <w:sz w:val="24"/>
                <w:szCs w:val="24"/>
              </w:rPr>
            </w:pPr>
          </w:p>
        </w:tc>
        <w:tc>
          <w:tcPr>
            <w:tcW w:w="1785" w:type="dxa"/>
          </w:tcPr>
          <w:p w14:paraId="13D0DBCE">
            <w:pPr>
              <w:spacing w:line="460" w:lineRule="exact"/>
              <w:rPr>
                <w:rFonts w:ascii="宋体" w:hAnsi="宋体"/>
                <w:color w:val="000000"/>
                <w:sz w:val="24"/>
                <w:szCs w:val="24"/>
              </w:rPr>
            </w:pPr>
          </w:p>
        </w:tc>
        <w:tc>
          <w:tcPr>
            <w:tcW w:w="1188" w:type="dxa"/>
          </w:tcPr>
          <w:p w14:paraId="055EE426">
            <w:pPr>
              <w:spacing w:line="460" w:lineRule="exact"/>
              <w:rPr>
                <w:rFonts w:ascii="宋体" w:hAnsi="宋体"/>
                <w:color w:val="000000"/>
                <w:sz w:val="24"/>
                <w:szCs w:val="24"/>
              </w:rPr>
            </w:pPr>
          </w:p>
        </w:tc>
        <w:tc>
          <w:tcPr>
            <w:tcW w:w="2156" w:type="dxa"/>
          </w:tcPr>
          <w:p w14:paraId="165F1ADB">
            <w:pPr>
              <w:spacing w:line="460" w:lineRule="exact"/>
              <w:rPr>
                <w:rFonts w:ascii="宋体" w:hAnsi="宋体"/>
                <w:color w:val="000000"/>
                <w:sz w:val="24"/>
                <w:szCs w:val="24"/>
              </w:rPr>
            </w:pPr>
          </w:p>
        </w:tc>
        <w:tc>
          <w:tcPr>
            <w:tcW w:w="1080" w:type="dxa"/>
          </w:tcPr>
          <w:p w14:paraId="68F3655A">
            <w:pPr>
              <w:spacing w:line="460" w:lineRule="exact"/>
              <w:rPr>
                <w:rFonts w:ascii="宋体" w:hAnsi="宋体"/>
                <w:color w:val="000000"/>
                <w:sz w:val="24"/>
                <w:szCs w:val="24"/>
              </w:rPr>
            </w:pPr>
          </w:p>
        </w:tc>
        <w:tc>
          <w:tcPr>
            <w:tcW w:w="1039" w:type="dxa"/>
          </w:tcPr>
          <w:p w14:paraId="00B9010B">
            <w:pPr>
              <w:spacing w:line="460" w:lineRule="exact"/>
              <w:rPr>
                <w:rFonts w:ascii="宋体" w:hAnsi="宋体"/>
                <w:color w:val="000000"/>
                <w:sz w:val="24"/>
                <w:szCs w:val="24"/>
              </w:rPr>
            </w:pPr>
          </w:p>
        </w:tc>
      </w:tr>
      <w:tr w14:paraId="04CD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0BFCADF">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51D9DC31">
            <w:pPr>
              <w:spacing w:line="460" w:lineRule="exact"/>
              <w:rPr>
                <w:rFonts w:ascii="宋体" w:hAnsi="宋体"/>
                <w:color w:val="000000"/>
                <w:sz w:val="24"/>
                <w:szCs w:val="24"/>
              </w:rPr>
            </w:pPr>
          </w:p>
        </w:tc>
        <w:tc>
          <w:tcPr>
            <w:tcW w:w="1785" w:type="dxa"/>
          </w:tcPr>
          <w:p w14:paraId="23756469">
            <w:pPr>
              <w:spacing w:line="460" w:lineRule="exact"/>
              <w:rPr>
                <w:rFonts w:ascii="宋体" w:hAnsi="宋体"/>
                <w:color w:val="000000"/>
                <w:sz w:val="24"/>
                <w:szCs w:val="24"/>
              </w:rPr>
            </w:pPr>
          </w:p>
        </w:tc>
        <w:tc>
          <w:tcPr>
            <w:tcW w:w="1188" w:type="dxa"/>
          </w:tcPr>
          <w:p w14:paraId="6C3A622A">
            <w:pPr>
              <w:spacing w:line="460" w:lineRule="exact"/>
              <w:rPr>
                <w:rFonts w:ascii="宋体" w:hAnsi="宋体"/>
                <w:color w:val="000000"/>
                <w:sz w:val="24"/>
                <w:szCs w:val="24"/>
              </w:rPr>
            </w:pPr>
          </w:p>
        </w:tc>
        <w:tc>
          <w:tcPr>
            <w:tcW w:w="2156" w:type="dxa"/>
          </w:tcPr>
          <w:p w14:paraId="230B99EE">
            <w:pPr>
              <w:spacing w:line="460" w:lineRule="exact"/>
              <w:rPr>
                <w:rFonts w:ascii="宋体" w:hAnsi="宋体"/>
                <w:color w:val="000000"/>
                <w:sz w:val="24"/>
                <w:szCs w:val="24"/>
              </w:rPr>
            </w:pPr>
          </w:p>
        </w:tc>
        <w:tc>
          <w:tcPr>
            <w:tcW w:w="1080" w:type="dxa"/>
          </w:tcPr>
          <w:p w14:paraId="514A4BB8">
            <w:pPr>
              <w:spacing w:line="460" w:lineRule="exact"/>
              <w:rPr>
                <w:rFonts w:ascii="宋体" w:hAnsi="宋体"/>
                <w:color w:val="000000"/>
                <w:sz w:val="24"/>
                <w:szCs w:val="24"/>
              </w:rPr>
            </w:pPr>
          </w:p>
        </w:tc>
        <w:tc>
          <w:tcPr>
            <w:tcW w:w="1039" w:type="dxa"/>
          </w:tcPr>
          <w:p w14:paraId="0B45F085">
            <w:pPr>
              <w:spacing w:line="460" w:lineRule="exact"/>
              <w:rPr>
                <w:rFonts w:ascii="宋体" w:hAnsi="宋体"/>
                <w:color w:val="000000"/>
                <w:sz w:val="24"/>
                <w:szCs w:val="24"/>
              </w:rPr>
            </w:pPr>
          </w:p>
        </w:tc>
      </w:tr>
      <w:tr w14:paraId="79F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A1EFC5">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0F372C3">
            <w:pPr>
              <w:spacing w:line="460" w:lineRule="exact"/>
              <w:rPr>
                <w:rFonts w:ascii="宋体" w:hAnsi="宋体"/>
                <w:color w:val="000000"/>
                <w:sz w:val="24"/>
                <w:szCs w:val="24"/>
              </w:rPr>
            </w:pPr>
          </w:p>
        </w:tc>
        <w:tc>
          <w:tcPr>
            <w:tcW w:w="1785" w:type="dxa"/>
          </w:tcPr>
          <w:p w14:paraId="1399E879">
            <w:pPr>
              <w:spacing w:line="460" w:lineRule="exact"/>
              <w:rPr>
                <w:rFonts w:ascii="宋体" w:hAnsi="宋体"/>
                <w:color w:val="000000"/>
                <w:sz w:val="24"/>
                <w:szCs w:val="24"/>
              </w:rPr>
            </w:pPr>
          </w:p>
        </w:tc>
        <w:tc>
          <w:tcPr>
            <w:tcW w:w="1188" w:type="dxa"/>
          </w:tcPr>
          <w:p w14:paraId="63E01095">
            <w:pPr>
              <w:spacing w:line="460" w:lineRule="exact"/>
              <w:rPr>
                <w:rFonts w:ascii="宋体" w:hAnsi="宋体"/>
                <w:color w:val="000000"/>
                <w:sz w:val="24"/>
                <w:szCs w:val="24"/>
              </w:rPr>
            </w:pPr>
          </w:p>
        </w:tc>
        <w:tc>
          <w:tcPr>
            <w:tcW w:w="2156" w:type="dxa"/>
          </w:tcPr>
          <w:p w14:paraId="558E0EA3">
            <w:pPr>
              <w:spacing w:line="460" w:lineRule="exact"/>
              <w:rPr>
                <w:rFonts w:ascii="宋体" w:hAnsi="宋体"/>
                <w:color w:val="000000"/>
                <w:sz w:val="24"/>
                <w:szCs w:val="24"/>
              </w:rPr>
            </w:pPr>
          </w:p>
        </w:tc>
        <w:tc>
          <w:tcPr>
            <w:tcW w:w="1080" w:type="dxa"/>
          </w:tcPr>
          <w:p w14:paraId="5447E635">
            <w:pPr>
              <w:spacing w:line="460" w:lineRule="exact"/>
              <w:rPr>
                <w:rFonts w:ascii="宋体" w:hAnsi="宋体"/>
                <w:color w:val="000000"/>
                <w:sz w:val="24"/>
                <w:szCs w:val="24"/>
              </w:rPr>
            </w:pPr>
          </w:p>
        </w:tc>
        <w:tc>
          <w:tcPr>
            <w:tcW w:w="1039" w:type="dxa"/>
          </w:tcPr>
          <w:p w14:paraId="36BD9730">
            <w:pPr>
              <w:spacing w:line="460" w:lineRule="exact"/>
              <w:rPr>
                <w:rFonts w:ascii="宋体" w:hAnsi="宋体"/>
                <w:color w:val="000000"/>
                <w:sz w:val="24"/>
                <w:szCs w:val="24"/>
              </w:rPr>
            </w:pPr>
          </w:p>
        </w:tc>
      </w:tr>
      <w:tr w14:paraId="0C3F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4B49D4E">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F5C3373">
            <w:pPr>
              <w:spacing w:line="460" w:lineRule="exact"/>
              <w:rPr>
                <w:rFonts w:ascii="宋体" w:hAnsi="宋体"/>
                <w:color w:val="000000"/>
                <w:sz w:val="24"/>
                <w:szCs w:val="24"/>
              </w:rPr>
            </w:pPr>
          </w:p>
        </w:tc>
        <w:tc>
          <w:tcPr>
            <w:tcW w:w="1785" w:type="dxa"/>
          </w:tcPr>
          <w:p w14:paraId="33D229B7">
            <w:pPr>
              <w:spacing w:line="460" w:lineRule="exact"/>
              <w:rPr>
                <w:rFonts w:ascii="宋体" w:hAnsi="宋体"/>
                <w:color w:val="000000"/>
                <w:sz w:val="24"/>
                <w:szCs w:val="24"/>
              </w:rPr>
            </w:pPr>
          </w:p>
        </w:tc>
        <w:tc>
          <w:tcPr>
            <w:tcW w:w="1188" w:type="dxa"/>
          </w:tcPr>
          <w:p w14:paraId="63131BEB">
            <w:pPr>
              <w:spacing w:line="460" w:lineRule="exact"/>
              <w:rPr>
                <w:rFonts w:ascii="宋体" w:hAnsi="宋体"/>
                <w:color w:val="000000"/>
                <w:sz w:val="24"/>
                <w:szCs w:val="24"/>
              </w:rPr>
            </w:pPr>
          </w:p>
        </w:tc>
        <w:tc>
          <w:tcPr>
            <w:tcW w:w="2156" w:type="dxa"/>
          </w:tcPr>
          <w:p w14:paraId="3D329986">
            <w:pPr>
              <w:spacing w:line="460" w:lineRule="exact"/>
              <w:rPr>
                <w:rFonts w:ascii="宋体" w:hAnsi="宋体"/>
                <w:color w:val="000000"/>
                <w:sz w:val="24"/>
                <w:szCs w:val="24"/>
              </w:rPr>
            </w:pPr>
          </w:p>
        </w:tc>
        <w:tc>
          <w:tcPr>
            <w:tcW w:w="1080" w:type="dxa"/>
          </w:tcPr>
          <w:p w14:paraId="7A0050CC">
            <w:pPr>
              <w:spacing w:line="460" w:lineRule="exact"/>
              <w:rPr>
                <w:rFonts w:ascii="宋体" w:hAnsi="宋体"/>
                <w:color w:val="000000"/>
                <w:sz w:val="24"/>
                <w:szCs w:val="24"/>
              </w:rPr>
            </w:pPr>
          </w:p>
        </w:tc>
        <w:tc>
          <w:tcPr>
            <w:tcW w:w="1039" w:type="dxa"/>
          </w:tcPr>
          <w:p w14:paraId="2641A998">
            <w:pPr>
              <w:spacing w:line="460" w:lineRule="exact"/>
              <w:rPr>
                <w:rFonts w:ascii="宋体" w:hAnsi="宋体"/>
                <w:color w:val="000000"/>
                <w:sz w:val="24"/>
                <w:szCs w:val="24"/>
              </w:rPr>
            </w:pPr>
          </w:p>
        </w:tc>
      </w:tr>
      <w:tr w14:paraId="579F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86DD5FA">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0E8673A8">
            <w:pPr>
              <w:spacing w:line="460" w:lineRule="exact"/>
              <w:rPr>
                <w:rFonts w:ascii="宋体" w:hAnsi="宋体"/>
                <w:color w:val="000000"/>
                <w:sz w:val="24"/>
                <w:szCs w:val="24"/>
              </w:rPr>
            </w:pPr>
          </w:p>
        </w:tc>
        <w:tc>
          <w:tcPr>
            <w:tcW w:w="1785" w:type="dxa"/>
          </w:tcPr>
          <w:p w14:paraId="57A51104">
            <w:pPr>
              <w:spacing w:line="460" w:lineRule="exact"/>
              <w:rPr>
                <w:rFonts w:ascii="宋体" w:hAnsi="宋体"/>
                <w:color w:val="000000"/>
                <w:sz w:val="24"/>
                <w:szCs w:val="24"/>
              </w:rPr>
            </w:pPr>
          </w:p>
        </w:tc>
        <w:tc>
          <w:tcPr>
            <w:tcW w:w="1188" w:type="dxa"/>
          </w:tcPr>
          <w:p w14:paraId="4B5010BE">
            <w:pPr>
              <w:spacing w:line="460" w:lineRule="exact"/>
              <w:rPr>
                <w:rFonts w:ascii="宋体" w:hAnsi="宋体"/>
                <w:color w:val="000000"/>
                <w:sz w:val="24"/>
                <w:szCs w:val="24"/>
              </w:rPr>
            </w:pPr>
          </w:p>
        </w:tc>
        <w:tc>
          <w:tcPr>
            <w:tcW w:w="2156" w:type="dxa"/>
          </w:tcPr>
          <w:p w14:paraId="099B1D41">
            <w:pPr>
              <w:spacing w:line="460" w:lineRule="exact"/>
              <w:rPr>
                <w:rFonts w:ascii="宋体" w:hAnsi="宋体"/>
                <w:color w:val="000000"/>
                <w:sz w:val="24"/>
                <w:szCs w:val="24"/>
              </w:rPr>
            </w:pPr>
          </w:p>
        </w:tc>
        <w:tc>
          <w:tcPr>
            <w:tcW w:w="1080" w:type="dxa"/>
          </w:tcPr>
          <w:p w14:paraId="40B1DDF9">
            <w:pPr>
              <w:spacing w:line="460" w:lineRule="exact"/>
              <w:rPr>
                <w:rFonts w:ascii="宋体" w:hAnsi="宋体"/>
                <w:color w:val="000000"/>
                <w:sz w:val="24"/>
                <w:szCs w:val="24"/>
              </w:rPr>
            </w:pPr>
          </w:p>
        </w:tc>
        <w:tc>
          <w:tcPr>
            <w:tcW w:w="1039" w:type="dxa"/>
          </w:tcPr>
          <w:p w14:paraId="3FD3C230">
            <w:pPr>
              <w:spacing w:line="460" w:lineRule="exact"/>
              <w:rPr>
                <w:rFonts w:ascii="宋体" w:hAnsi="宋体"/>
                <w:color w:val="000000"/>
                <w:sz w:val="24"/>
                <w:szCs w:val="24"/>
              </w:rPr>
            </w:pPr>
          </w:p>
        </w:tc>
      </w:tr>
      <w:tr w14:paraId="7D50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6CE9BAE">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33A91022">
            <w:pPr>
              <w:spacing w:line="460" w:lineRule="exact"/>
              <w:rPr>
                <w:rFonts w:ascii="宋体" w:hAnsi="宋体"/>
                <w:color w:val="000000"/>
                <w:sz w:val="24"/>
                <w:szCs w:val="24"/>
              </w:rPr>
            </w:pPr>
          </w:p>
        </w:tc>
        <w:tc>
          <w:tcPr>
            <w:tcW w:w="1785" w:type="dxa"/>
          </w:tcPr>
          <w:p w14:paraId="0DF74020">
            <w:pPr>
              <w:spacing w:line="460" w:lineRule="exact"/>
              <w:rPr>
                <w:rFonts w:ascii="宋体" w:hAnsi="宋体"/>
                <w:color w:val="000000"/>
                <w:sz w:val="24"/>
                <w:szCs w:val="24"/>
              </w:rPr>
            </w:pPr>
          </w:p>
        </w:tc>
        <w:tc>
          <w:tcPr>
            <w:tcW w:w="1188" w:type="dxa"/>
          </w:tcPr>
          <w:p w14:paraId="77178C3C">
            <w:pPr>
              <w:spacing w:line="460" w:lineRule="exact"/>
              <w:rPr>
                <w:rFonts w:ascii="宋体" w:hAnsi="宋体"/>
                <w:color w:val="000000"/>
                <w:sz w:val="24"/>
                <w:szCs w:val="24"/>
              </w:rPr>
            </w:pPr>
          </w:p>
        </w:tc>
        <w:tc>
          <w:tcPr>
            <w:tcW w:w="2156" w:type="dxa"/>
          </w:tcPr>
          <w:p w14:paraId="4D11556D">
            <w:pPr>
              <w:spacing w:line="460" w:lineRule="exact"/>
              <w:rPr>
                <w:rFonts w:ascii="宋体" w:hAnsi="宋体"/>
                <w:color w:val="000000"/>
                <w:sz w:val="24"/>
                <w:szCs w:val="24"/>
              </w:rPr>
            </w:pPr>
          </w:p>
        </w:tc>
        <w:tc>
          <w:tcPr>
            <w:tcW w:w="1080" w:type="dxa"/>
          </w:tcPr>
          <w:p w14:paraId="2E33AD1E">
            <w:pPr>
              <w:spacing w:line="460" w:lineRule="exact"/>
              <w:rPr>
                <w:rFonts w:ascii="宋体" w:hAnsi="宋体"/>
                <w:color w:val="000000"/>
                <w:sz w:val="24"/>
                <w:szCs w:val="24"/>
              </w:rPr>
            </w:pPr>
          </w:p>
        </w:tc>
        <w:tc>
          <w:tcPr>
            <w:tcW w:w="1039" w:type="dxa"/>
          </w:tcPr>
          <w:p w14:paraId="36F2E2C1">
            <w:pPr>
              <w:spacing w:line="460" w:lineRule="exact"/>
              <w:rPr>
                <w:rFonts w:ascii="宋体" w:hAnsi="宋体"/>
                <w:color w:val="000000"/>
                <w:sz w:val="24"/>
                <w:szCs w:val="24"/>
              </w:rPr>
            </w:pPr>
          </w:p>
        </w:tc>
      </w:tr>
    </w:tbl>
    <w:p w14:paraId="29B4E9F3">
      <w:pPr>
        <w:spacing w:line="460" w:lineRule="exact"/>
        <w:ind w:firstLine="3123" w:firstLineChars="1296"/>
        <w:rPr>
          <w:rFonts w:ascii="宋体" w:hAnsi="宋体"/>
          <w:b/>
          <w:color w:val="000000"/>
          <w:sz w:val="24"/>
          <w:szCs w:val="24"/>
        </w:rPr>
      </w:pPr>
    </w:p>
    <w:p w14:paraId="02E633D1">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7A926A6C">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13504250">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721223F0">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26EFA2A9">
      <w:pPr>
        <w:spacing w:line="460" w:lineRule="exact"/>
        <w:ind w:firstLine="560" w:firstLineChars="200"/>
        <w:rPr>
          <w:rFonts w:ascii="宋体" w:hAnsi="宋体"/>
          <w:color w:val="000000"/>
          <w:sz w:val="28"/>
          <w:szCs w:val="28"/>
        </w:rPr>
      </w:pPr>
      <w:r>
        <w:rPr>
          <w:rFonts w:hint="eastAsia" w:ascii="宋体" w:hAnsi="宋体"/>
          <w:color w:val="000000"/>
          <w:sz w:val="28"/>
          <w:szCs w:val="28"/>
        </w:rPr>
        <w:t>3.供应商所投产品如与询比文件要求的规格及配置不一致，则需在上表偏离说明中注明。供应商应据实填写产品技术响应性。</w:t>
      </w:r>
    </w:p>
    <w:bookmarkEnd w:id="40"/>
    <w:p w14:paraId="4F512717">
      <w:pPr>
        <w:widowControl/>
        <w:shd w:val="clear" w:color="auto" w:fill="FFFFFF"/>
        <w:spacing w:before="100" w:beforeAutospacing="1" w:after="100" w:afterAutospacing="1" w:line="560" w:lineRule="exact"/>
        <w:rPr>
          <w:rFonts w:ascii="黑体" w:hAnsi="黑体" w:eastAsia="黑体" w:cs="黑体"/>
          <w:color w:val="000000"/>
          <w:kern w:val="0"/>
          <w:sz w:val="32"/>
          <w:szCs w:val="32"/>
        </w:rPr>
      </w:pPr>
      <w:bookmarkStart w:id="41" w:name="_Toc516969105"/>
      <w:bookmarkEnd w:id="41"/>
      <w:bookmarkStart w:id="42" w:name="_Hlt519068455"/>
      <w:bookmarkEnd w:id="42"/>
      <w:bookmarkStart w:id="43" w:name="_Toc172171560"/>
      <w:bookmarkEnd w:id="43"/>
      <w:bookmarkStart w:id="44" w:name="_Hlt533408944"/>
      <w:bookmarkEnd w:id="44"/>
      <w:bookmarkStart w:id="45" w:name="_Hlt509649506"/>
      <w:bookmarkEnd w:id="45"/>
      <w:bookmarkStart w:id="46" w:name="_Hlt514495724"/>
      <w:bookmarkEnd w:id="46"/>
      <w:bookmarkStart w:id="47" w:name="_Hlt526418352"/>
      <w:bookmarkEnd w:id="47"/>
    </w:p>
    <w:p w14:paraId="15B04150">
      <w:pPr>
        <w:widowControl/>
        <w:shd w:val="clear" w:color="auto" w:fill="FFFFFF"/>
        <w:spacing w:before="100" w:beforeAutospacing="1" w:after="100" w:afterAutospacing="1" w:line="560" w:lineRule="exact"/>
        <w:ind w:left="750" w:hanging="750"/>
        <w:jc w:val="center"/>
        <w:outlineLvl w:val="2"/>
        <w:rPr>
          <w:rFonts w:ascii="黑体" w:hAnsi="Times New Roman" w:eastAsia="黑体"/>
          <w:b/>
          <w:color w:val="000000"/>
          <w:sz w:val="28"/>
          <w:szCs w:val="28"/>
        </w:rPr>
      </w:pPr>
      <w:r>
        <w:rPr>
          <w:rFonts w:hint="eastAsia" w:ascii="黑体" w:hAnsi="黑体" w:eastAsia="黑体" w:cs="黑体"/>
          <w:color w:val="000000"/>
          <w:kern w:val="0"/>
          <w:sz w:val="32"/>
          <w:szCs w:val="32"/>
        </w:rPr>
        <w:t>六、分项报价表</w:t>
      </w:r>
    </w:p>
    <w:tbl>
      <w:tblPr>
        <w:tblStyle w:val="23"/>
        <w:tblW w:w="10301" w:type="dxa"/>
        <w:jc w:val="center"/>
        <w:tblLayout w:type="fixed"/>
        <w:tblCellMar>
          <w:top w:w="0" w:type="dxa"/>
          <w:left w:w="108" w:type="dxa"/>
          <w:bottom w:w="0" w:type="dxa"/>
          <w:right w:w="108" w:type="dxa"/>
        </w:tblCellMar>
      </w:tblPr>
      <w:tblGrid>
        <w:gridCol w:w="836"/>
        <w:gridCol w:w="2385"/>
        <w:gridCol w:w="1452"/>
        <w:gridCol w:w="1356"/>
        <w:gridCol w:w="1552"/>
        <w:gridCol w:w="1360"/>
        <w:gridCol w:w="1360"/>
      </w:tblGrid>
      <w:tr w14:paraId="7B5CFA46">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79819C8E">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序号</w:t>
            </w:r>
          </w:p>
        </w:tc>
        <w:tc>
          <w:tcPr>
            <w:tcW w:w="2385" w:type="dxa"/>
            <w:tcBorders>
              <w:top w:val="single" w:color="auto" w:sz="4" w:space="0"/>
              <w:left w:val="single" w:color="auto" w:sz="4" w:space="0"/>
              <w:bottom w:val="nil"/>
              <w:right w:val="nil"/>
            </w:tcBorders>
            <w:shd w:val="clear" w:color="auto" w:fill="FFFFFF"/>
            <w:vAlign w:val="center"/>
          </w:tcPr>
          <w:p w14:paraId="632AFB1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项目名称</w:t>
            </w:r>
          </w:p>
        </w:tc>
        <w:tc>
          <w:tcPr>
            <w:tcW w:w="1452" w:type="dxa"/>
            <w:tcBorders>
              <w:top w:val="single" w:color="auto" w:sz="4" w:space="0"/>
              <w:left w:val="single" w:color="auto" w:sz="4" w:space="0"/>
              <w:bottom w:val="nil"/>
              <w:right w:val="nil"/>
            </w:tcBorders>
            <w:shd w:val="clear" w:color="auto" w:fill="FFFFFF"/>
            <w:vAlign w:val="center"/>
          </w:tcPr>
          <w:p w14:paraId="5186335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数量</w:t>
            </w:r>
          </w:p>
        </w:tc>
        <w:tc>
          <w:tcPr>
            <w:tcW w:w="1356" w:type="dxa"/>
            <w:tcBorders>
              <w:top w:val="single" w:color="auto" w:sz="4" w:space="0"/>
              <w:left w:val="single" w:color="auto" w:sz="4" w:space="0"/>
              <w:bottom w:val="nil"/>
              <w:right w:val="nil"/>
            </w:tcBorders>
            <w:shd w:val="clear" w:color="auto" w:fill="FFFFFF"/>
            <w:vAlign w:val="center"/>
          </w:tcPr>
          <w:p w14:paraId="5768D9D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单价（元）</w:t>
            </w:r>
          </w:p>
        </w:tc>
        <w:tc>
          <w:tcPr>
            <w:tcW w:w="1552" w:type="dxa"/>
            <w:tcBorders>
              <w:top w:val="single" w:color="auto" w:sz="4" w:space="0"/>
              <w:left w:val="single" w:color="auto" w:sz="4" w:space="0"/>
              <w:bottom w:val="nil"/>
              <w:right w:val="single" w:color="auto" w:sz="4" w:space="0"/>
            </w:tcBorders>
            <w:shd w:val="clear" w:color="auto" w:fill="FFFFFF"/>
            <w:vAlign w:val="center"/>
          </w:tcPr>
          <w:p w14:paraId="3DB75B0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小计（元）</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64BCD19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sz w:val="28"/>
                <w:szCs w:val="28"/>
                <w:lang w:val="en-US" w:eastAsia="zh-CN"/>
              </w:rPr>
            </w:pPr>
            <w:r>
              <w:rPr>
                <w:rFonts w:hint="eastAsia" w:ascii="Times New Roman" w:hAnsi="Times New Roman"/>
                <w:color w:val="000000"/>
                <w:sz w:val="28"/>
                <w:szCs w:val="28"/>
                <w:lang w:val="en-US" w:eastAsia="zh-CN"/>
              </w:rPr>
              <w:t>备注</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0C0C8D8D">
            <w:pPr>
              <w:keepNext w:val="0"/>
              <w:keepLines w:val="0"/>
              <w:suppressLineNumbers w:val="0"/>
              <w:spacing w:before="0" w:beforeAutospacing="0" w:after="0" w:afterAutospacing="0"/>
              <w:ind w:left="0" w:right="0"/>
              <w:jc w:val="center"/>
              <w:rPr>
                <w:rFonts w:hint="eastAsia" w:ascii="Times New Roman" w:hAnsi="Times New Roman" w:eastAsia="宋体"/>
                <w:color w:val="000000"/>
                <w:sz w:val="28"/>
                <w:szCs w:val="28"/>
                <w:lang w:val="en-US" w:eastAsia="zh-CN"/>
              </w:rPr>
            </w:pPr>
          </w:p>
        </w:tc>
      </w:tr>
      <w:tr w14:paraId="5F8DD221">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3B11B3A4">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03724E75">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2CF1C1DC">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C772234">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AF46D84">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BFB9029">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3EF978B6">
            <w:pPr>
              <w:keepNext w:val="0"/>
              <w:keepLines w:val="0"/>
              <w:suppressLineNumbers w:val="0"/>
              <w:spacing w:before="0" w:beforeAutospacing="0" w:after="0" w:afterAutospacing="0"/>
              <w:ind w:left="0" w:right="0"/>
              <w:rPr>
                <w:rFonts w:hint="default" w:ascii="宋体" w:hAnsi="宋体" w:cs="宋体"/>
              </w:rPr>
            </w:pPr>
          </w:p>
        </w:tc>
      </w:tr>
      <w:tr w14:paraId="0AC4AAD1">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9F55859">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167101B6">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6991D5CD">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2C45E18D">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14C0C207">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BA8E513">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E410C0F">
            <w:pPr>
              <w:keepNext w:val="0"/>
              <w:keepLines w:val="0"/>
              <w:suppressLineNumbers w:val="0"/>
              <w:spacing w:before="0" w:beforeAutospacing="0" w:after="0" w:afterAutospacing="0"/>
              <w:ind w:left="0" w:right="0"/>
              <w:rPr>
                <w:rFonts w:hint="default" w:ascii="宋体" w:hAnsi="宋体" w:cs="宋体"/>
              </w:rPr>
            </w:pPr>
          </w:p>
        </w:tc>
      </w:tr>
      <w:tr w14:paraId="415C6FC3">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044F5B1D">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641411D4">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31AA0656">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00C71DC2">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0C752103">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6FCEB54">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EF7EF4A">
            <w:pPr>
              <w:keepNext w:val="0"/>
              <w:keepLines w:val="0"/>
              <w:suppressLineNumbers w:val="0"/>
              <w:spacing w:before="0" w:beforeAutospacing="0" w:after="0" w:afterAutospacing="0"/>
              <w:ind w:left="0" w:right="0"/>
              <w:rPr>
                <w:rFonts w:hint="default" w:ascii="宋体" w:hAnsi="宋体" w:cs="宋体"/>
              </w:rPr>
            </w:pPr>
          </w:p>
        </w:tc>
      </w:tr>
      <w:tr w14:paraId="4C2C5133">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179C01A">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34F68556">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54D83947">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5EA9BC2D">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4810DCAD">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75DF88E">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1B03C942">
            <w:pPr>
              <w:keepNext w:val="0"/>
              <w:keepLines w:val="0"/>
              <w:suppressLineNumbers w:val="0"/>
              <w:spacing w:before="0" w:beforeAutospacing="0" w:after="0" w:afterAutospacing="0"/>
              <w:ind w:left="0" w:right="0"/>
              <w:rPr>
                <w:rFonts w:hint="default" w:ascii="宋体" w:hAnsi="宋体" w:cs="宋体"/>
              </w:rPr>
            </w:pPr>
          </w:p>
        </w:tc>
      </w:tr>
      <w:tr w14:paraId="48AF4F28">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4AF675A1">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729A3BDB">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462AA817">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4235A9A1">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04D7CD05">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414DF841">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2B23666C">
            <w:pPr>
              <w:keepNext w:val="0"/>
              <w:keepLines w:val="0"/>
              <w:suppressLineNumbers w:val="0"/>
              <w:spacing w:before="0" w:beforeAutospacing="0" w:after="0" w:afterAutospacing="0"/>
              <w:ind w:left="0" w:right="0"/>
              <w:rPr>
                <w:rFonts w:hint="default" w:ascii="宋体" w:hAnsi="宋体" w:cs="宋体"/>
              </w:rPr>
            </w:pPr>
          </w:p>
        </w:tc>
      </w:tr>
      <w:tr w14:paraId="2F9BCBDA">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14:paraId="5062B7A9">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nil"/>
              <w:right w:val="nil"/>
            </w:tcBorders>
            <w:shd w:val="clear" w:color="auto" w:fill="FFFFFF"/>
          </w:tcPr>
          <w:p w14:paraId="5FFDF21E">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nil"/>
              <w:right w:val="nil"/>
            </w:tcBorders>
            <w:shd w:val="clear" w:color="auto" w:fill="FFFFFF"/>
          </w:tcPr>
          <w:p w14:paraId="093EF736">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nil"/>
              <w:right w:val="nil"/>
            </w:tcBorders>
            <w:shd w:val="clear" w:color="auto" w:fill="FFFFFF"/>
          </w:tcPr>
          <w:p w14:paraId="70503F34">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nil"/>
              <w:right w:val="single" w:color="auto" w:sz="4" w:space="0"/>
            </w:tcBorders>
            <w:shd w:val="clear" w:color="auto" w:fill="FFFFFF"/>
          </w:tcPr>
          <w:p w14:paraId="612C0C11">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7C3B3582">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nil"/>
              <w:right w:val="single" w:color="auto" w:sz="4" w:space="0"/>
            </w:tcBorders>
            <w:shd w:val="clear" w:color="auto" w:fill="FFFFFF"/>
          </w:tcPr>
          <w:p w14:paraId="614472EE">
            <w:pPr>
              <w:keepNext w:val="0"/>
              <w:keepLines w:val="0"/>
              <w:suppressLineNumbers w:val="0"/>
              <w:spacing w:before="0" w:beforeAutospacing="0" w:after="0" w:afterAutospacing="0"/>
              <w:ind w:left="0" w:right="0"/>
              <w:rPr>
                <w:rFonts w:hint="default" w:ascii="宋体" w:hAnsi="宋体" w:cs="宋体"/>
              </w:rPr>
            </w:pPr>
          </w:p>
        </w:tc>
      </w:tr>
      <w:tr w14:paraId="3870C95F">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68A32D78">
            <w:pPr>
              <w:keepNext w:val="0"/>
              <w:keepLines w:val="0"/>
              <w:suppressLineNumbers w:val="0"/>
              <w:spacing w:before="0" w:beforeAutospacing="0" w:after="0" w:afterAutospacing="0"/>
              <w:ind w:left="0" w:right="0"/>
              <w:jc w:val="center"/>
              <w:rPr>
                <w:rFonts w:hint="default" w:ascii="宋体" w:hAnsi="宋体" w:cs="宋体"/>
              </w:rPr>
            </w:pPr>
          </w:p>
        </w:tc>
        <w:tc>
          <w:tcPr>
            <w:tcW w:w="2385" w:type="dxa"/>
            <w:tcBorders>
              <w:top w:val="single" w:color="auto" w:sz="4" w:space="0"/>
              <w:left w:val="single" w:color="auto" w:sz="4" w:space="0"/>
              <w:bottom w:val="single" w:color="auto" w:sz="4" w:space="0"/>
              <w:right w:val="nil"/>
            </w:tcBorders>
            <w:shd w:val="clear" w:color="auto" w:fill="FFFFFF"/>
          </w:tcPr>
          <w:p w14:paraId="0747F585">
            <w:pPr>
              <w:keepNext w:val="0"/>
              <w:keepLines w:val="0"/>
              <w:suppressLineNumbers w:val="0"/>
              <w:spacing w:before="0" w:beforeAutospacing="0" w:after="0" w:afterAutospacing="0"/>
              <w:ind w:left="0" w:right="0"/>
              <w:rPr>
                <w:rFonts w:hint="default" w:ascii="宋体" w:hAnsi="宋体" w:cs="宋体"/>
              </w:rPr>
            </w:pPr>
          </w:p>
        </w:tc>
        <w:tc>
          <w:tcPr>
            <w:tcW w:w="1452" w:type="dxa"/>
            <w:tcBorders>
              <w:top w:val="single" w:color="auto" w:sz="4" w:space="0"/>
              <w:left w:val="single" w:color="auto" w:sz="4" w:space="0"/>
              <w:bottom w:val="single" w:color="auto" w:sz="4" w:space="0"/>
              <w:right w:val="nil"/>
            </w:tcBorders>
            <w:shd w:val="clear" w:color="auto" w:fill="FFFFFF"/>
          </w:tcPr>
          <w:p w14:paraId="1D78982B">
            <w:pPr>
              <w:keepNext w:val="0"/>
              <w:keepLines w:val="0"/>
              <w:suppressLineNumbers w:val="0"/>
              <w:spacing w:before="0" w:beforeAutospacing="0" w:after="0" w:afterAutospacing="0"/>
              <w:ind w:left="0" w:right="0"/>
              <w:rPr>
                <w:rFonts w:hint="default" w:ascii="宋体" w:hAnsi="宋体" w:cs="宋体"/>
              </w:rPr>
            </w:pPr>
          </w:p>
        </w:tc>
        <w:tc>
          <w:tcPr>
            <w:tcW w:w="1356" w:type="dxa"/>
            <w:tcBorders>
              <w:top w:val="single" w:color="auto" w:sz="4" w:space="0"/>
              <w:left w:val="single" w:color="auto" w:sz="4" w:space="0"/>
              <w:bottom w:val="single" w:color="auto" w:sz="4" w:space="0"/>
              <w:right w:val="nil"/>
            </w:tcBorders>
            <w:shd w:val="clear" w:color="auto" w:fill="FFFFFF"/>
          </w:tcPr>
          <w:p w14:paraId="33B95AC6">
            <w:pPr>
              <w:keepNext w:val="0"/>
              <w:keepLines w:val="0"/>
              <w:suppressLineNumbers w:val="0"/>
              <w:spacing w:before="0" w:beforeAutospacing="0" w:after="0" w:afterAutospacing="0"/>
              <w:ind w:left="0" w:right="0"/>
              <w:rPr>
                <w:rFonts w:hint="default" w:ascii="宋体" w:hAnsi="宋体" w:cs="宋体"/>
              </w:rPr>
            </w:pPr>
          </w:p>
        </w:tc>
        <w:tc>
          <w:tcPr>
            <w:tcW w:w="1552" w:type="dxa"/>
            <w:tcBorders>
              <w:top w:val="single" w:color="auto" w:sz="4" w:space="0"/>
              <w:left w:val="single" w:color="auto" w:sz="4" w:space="0"/>
              <w:bottom w:val="single" w:color="auto" w:sz="4" w:space="0"/>
              <w:right w:val="single" w:color="auto" w:sz="4" w:space="0"/>
            </w:tcBorders>
            <w:shd w:val="clear" w:color="auto" w:fill="FFFFFF"/>
          </w:tcPr>
          <w:p w14:paraId="2EC9E7E6">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2F6524E9">
            <w:pPr>
              <w:keepNext w:val="0"/>
              <w:keepLines w:val="0"/>
              <w:suppressLineNumbers w:val="0"/>
              <w:spacing w:before="0" w:beforeAutospacing="0" w:after="0" w:afterAutospacing="0"/>
              <w:ind w:left="0" w:right="0"/>
              <w:rPr>
                <w:rFonts w:hint="default" w:ascii="宋体" w:hAnsi="宋体" w:cs="宋体"/>
              </w:rPr>
            </w:pPr>
          </w:p>
        </w:tc>
        <w:tc>
          <w:tcPr>
            <w:tcW w:w="1360" w:type="dxa"/>
            <w:tcBorders>
              <w:top w:val="single" w:color="auto" w:sz="4" w:space="0"/>
              <w:left w:val="single" w:color="auto" w:sz="4" w:space="0"/>
              <w:bottom w:val="single" w:color="auto" w:sz="4" w:space="0"/>
              <w:right w:val="single" w:color="auto" w:sz="4" w:space="0"/>
            </w:tcBorders>
            <w:shd w:val="clear" w:color="auto" w:fill="FFFFFF"/>
          </w:tcPr>
          <w:p w14:paraId="71D5EE65">
            <w:pPr>
              <w:keepNext w:val="0"/>
              <w:keepLines w:val="0"/>
              <w:suppressLineNumbers w:val="0"/>
              <w:spacing w:before="0" w:beforeAutospacing="0" w:after="0" w:afterAutospacing="0"/>
              <w:ind w:left="0" w:right="0"/>
              <w:rPr>
                <w:rFonts w:hint="default" w:ascii="宋体" w:hAnsi="宋体" w:cs="宋体"/>
              </w:rPr>
            </w:pPr>
          </w:p>
        </w:tc>
      </w:tr>
      <w:tr w14:paraId="2A8C831C">
        <w:tblPrEx>
          <w:tblCellMar>
            <w:top w:w="0" w:type="dxa"/>
            <w:left w:w="108" w:type="dxa"/>
            <w:bottom w:w="0" w:type="dxa"/>
            <w:right w:w="108" w:type="dxa"/>
          </w:tblCellMar>
        </w:tblPrEx>
        <w:trPr>
          <w:trHeight w:val="83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14:paraId="2BFB70C2">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总价</w:t>
            </w:r>
          </w:p>
        </w:tc>
        <w:tc>
          <w:tcPr>
            <w:tcW w:w="9465"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1887980">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人民币                           （小写：           元）</w:t>
            </w:r>
          </w:p>
        </w:tc>
      </w:tr>
    </w:tbl>
    <w:p w14:paraId="7677A1C1">
      <w:pPr>
        <w:widowControl/>
        <w:shd w:val="clear" w:color="auto" w:fill="FFFFFF"/>
        <w:spacing w:before="100" w:beforeAutospacing="1" w:after="100" w:afterAutospacing="1" w:line="560" w:lineRule="exact"/>
        <w:ind w:firstLine="640" w:firstLineChars="200"/>
        <w:jc w:val="center"/>
        <w:rPr>
          <w:rFonts w:hint="eastAsia" w:ascii="黑体" w:hAnsi="黑体" w:eastAsia="黑体" w:cs="黑体"/>
          <w:color w:val="000000"/>
          <w:kern w:val="0"/>
          <w:sz w:val="32"/>
          <w:szCs w:val="32"/>
          <w:lang w:val="en-US" w:eastAsia="zh-CN"/>
        </w:rPr>
      </w:pPr>
    </w:p>
    <w:p w14:paraId="49E1D41F">
      <w:pPr>
        <w:widowControl/>
        <w:shd w:val="clear" w:color="auto" w:fill="FFFFFF"/>
        <w:spacing w:before="100" w:beforeAutospacing="1" w:after="100" w:afterAutospacing="1" w:line="560" w:lineRule="exact"/>
        <w:ind w:firstLine="640" w:firstLineChars="200"/>
        <w:jc w:val="center"/>
        <w:rPr>
          <w:rFonts w:hint="eastAsia" w:ascii="黑体" w:hAnsi="黑体" w:eastAsia="黑体" w:cs="黑体"/>
          <w:color w:val="000000"/>
          <w:kern w:val="0"/>
          <w:sz w:val="32"/>
          <w:szCs w:val="32"/>
          <w:lang w:val="en-US" w:eastAsia="zh-CN"/>
        </w:rPr>
      </w:pPr>
    </w:p>
    <w:p w14:paraId="221201CE">
      <w:pPr>
        <w:widowControl/>
        <w:shd w:val="clear" w:color="auto" w:fill="FFFFFF"/>
        <w:spacing w:before="100" w:beforeAutospacing="1" w:after="100" w:afterAutospacing="1" w:line="560" w:lineRule="exact"/>
        <w:ind w:firstLine="640" w:firstLineChars="200"/>
        <w:jc w:val="center"/>
        <w:rPr>
          <w:rFonts w:hint="eastAsia" w:ascii="黑体" w:hAnsi="黑体" w:eastAsia="黑体" w:cs="黑体"/>
          <w:color w:val="000000"/>
          <w:kern w:val="0"/>
          <w:sz w:val="32"/>
          <w:szCs w:val="32"/>
          <w:lang w:val="en-US" w:eastAsia="zh-CN"/>
        </w:rPr>
      </w:pPr>
    </w:p>
    <w:p w14:paraId="526B06E7">
      <w:pPr>
        <w:widowControl/>
        <w:shd w:val="clear" w:color="auto" w:fill="FFFFFF"/>
        <w:spacing w:before="100" w:beforeAutospacing="1" w:after="100" w:afterAutospacing="1" w:line="560" w:lineRule="exact"/>
        <w:ind w:firstLine="640" w:firstLineChars="200"/>
        <w:jc w:val="center"/>
        <w:rPr>
          <w:rFonts w:hint="eastAsia" w:ascii="黑体" w:hAnsi="黑体" w:eastAsia="黑体" w:cs="黑体"/>
          <w:color w:val="000000"/>
          <w:kern w:val="0"/>
          <w:sz w:val="32"/>
          <w:szCs w:val="32"/>
          <w:lang w:val="en-US" w:eastAsia="zh-CN"/>
        </w:rPr>
      </w:pPr>
    </w:p>
    <w:p w14:paraId="07E321B1">
      <w:pPr>
        <w:widowControl/>
        <w:shd w:val="clear" w:color="auto" w:fill="FFFFFF"/>
        <w:spacing w:before="100" w:beforeAutospacing="1" w:after="100" w:afterAutospacing="1" w:line="560" w:lineRule="exact"/>
        <w:ind w:firstLine="640" w:firstLineChars="200"/>
        <w:jc w:val="center"/>
        <w:rPr>
          <w:rFonts w:hint="eastAsia" w:ascii="黑体" w:hAnsi="黑体" w:eastAsia="黑体" w:cs="黑体"/>
          <w:color w:val="000000"/>
          <w:kern w:val="0"/>
          <w:sz w:val="32"/>
          <w:szCs w:val="32"/>
          <w:lang w:val="en-US" w:eastAsia="zh-CN"/>
        </w:rPr>
      </w:pPr>
    </w:p>
    <w:p w14:paraId="721DBBE5">
      <w:pPr>
        <w:widowControl/>
        <w:shd w:val="clear" w:color="auto" w:fill="FFFFFF"/>
        <w:spacing w:before="100" w:beforeAutospacing="1" w:after="100" w:afterAutospacing="1" w:line="560" w:lineRule="exact"/>
        <w:ind w:firstLine="640" w:firstLineChars="200"/>
        <w:jc w:val="center"/>
        <w:rPr>
          <w:rFonts w:hint="eastAsia" w:ascii="黑体" w:hAnsi="黑体" w:eastAsia="黑体" w:cs="黑体"/>
          <w:color w:val="000000"/>
          <w:kern w:val="0"/>
          <w:sz w:val="32"/>
          <w:szCs w:val="32"/>
          <w:lang w:val="en-US" w:eastAsia="zh-CN"/>
        </w:rPr>
      </w:pPr>
    </w:p>
    <w:p w14:paraId="69C24D45">
      <w:pPr>
        <w:widowControl/>
        <w:shd w:val="clear" w:color="auto" w:fill="FFFFFF"/>
        <w:spacing w:before="100" w:beforeAutospacing="1" w:after="100" w:afterAutospacing="1" w:line="560" w:lineRule="exact"/>
        <w:ind w:firstLine="640" w:firstLineChars="200"/>
        <w:jc w:val="center"/>
        <w:rPr>
          <w:rFonts w:hint="eastAsia" w:ascii="黑体" w:hAnsi="黑体" w:eastAsia="黑体" w:cs="黑体"/>
          <w:color w:val="000000"/>
          <w:kern w:val="0"/>
          <w:sz w:val="32"/>
          <w:szCs w:val="32"/>
          <w:lang w:val="en-US" w:eastAsia="zh-CN"/>
        </w:rPr>
      </w:pPr>
    </w:p>
    <w:p w14:paraId="4798AB93">
      <w:pPr>
        <w:widowControl/>
        <w:shd w:val="clear" w:color="auto" w:fill="FFFFFF"/>
        <w:spacing w:before="100" w:beforeAutospacing="1" w:after="100" w:afterAutospacing="1" w:line="560" w:lineRule="exact"/>
        <w:ind w:firstLine="640" w:firstLineChars="200"/>
        <w:jc w:val="center"/>
        <w:rPr>
          <w:rFonts w:hint="eastAsia" w:ascii="黑体" w:hAnsi="黑体" w:eastAsia="黑体" w:cs="黑体"/>
          <w:color w:val="000000"/>
          <w:kern w:val="0"/>
          <w:sz w:val="32"/>
          <w:szCs w:val="32"/>
          <w:lang w:val="en-US" w:eastAsia="zh-CN"/>
        </w:rPr>
      </w:pPr>
    </w:p>
    <w:p w14:paraId="33E34F39">
      <w:pPr>
        <w:widowControl/>
        <w:shd w:val="clear" w:color="auto" w:fill="FFFFFF"/>
        <w:spacing w:before="100" w:beforeAutospacing="1" w:after="100" w:afterAutospacing="1" w:line="560" w:lineRule="exact"/>
        <w:ind w:firstLine="640" w:firstLineChars="200"/>
        <w:jc w:val="center"/>
        <w:rPr>
          <w:rFonts w:hint="eastAsia" w:ascii="黑体" w:hAnsi="黑体" w:eastAsia="黑体" w:cs="黑体"/>
          <w:color w:val="000000"/>
          <w:kern w:val="0"/>
          <w:sz w:val="32"/>
          <w:szCs w:val="32"/>
          <w:lang w:val="en-US" w:eastAsia="zh-CN"/>
        </w:rPr>
      </w:pPr>
    </w:p>
    <w:p w14:paraId="4A279F0B">
      <w:pPr>
        <w:widowControl/>
        <w:shd w:val="clear" w:color="auto" w:fill="FFFFFF"/>
        <w:spacing w:before="100" w:beforeAutospacing="1" w:after="100" w:afterAutospacing="1" w:line="560" w:lineRule="exact"/>
        <w:ind w:firstLine="640" w:firstLineChars="200"/>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资格审查等技术文件</w:t>
      </w:r>
    </w:p>
    <w:p w14:paraId="1046469E">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1DC11262">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（2）相关业绩合同；</w:t>
      </w:r>
    </w:p>
    <w:p w14:paraId="2482FC4B">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3131102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（4）投标供应商认为有必要提交的其他证明材料。</w:t>
      </w:r>
    </w:p>
    <w:p w14:paraId="46CC6E0E">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6B30272D">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00C4A0D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、服务承诺</w:t>
      </w:r>
    </w:p>
    <w:p w14:paraId="35B76AFA">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（格式由投标人自定）</w:t>
      </w:r>
    </w:p>
    <w:p w14:paraId="47F5473E">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8" w:name="_Toc9159"/>
      <w:r>
        <w:rPr>
          <w:rFonts w:hint="eastAsia" w:ascii="黑体" w:hAnsi="黑体" w:eastAsia="黑体" w:cs="黑体"/>
          <w:color w:val="000000"/>
          <w:kern w:val="0"/>
          <w:sz w:val="32"/>
          <w:szCs w:val="32"/>
          <w:lang w:val="en-US" w:eastAsia="zh-CN"/>
        </w:rPr>
        <w:t>九</w:t>
      </w:r>
      <w:r>
        <w:rPr>
          <w:rFonts w:hint="eastAsia" w:ascii="黑体" w:hAnsi="黑体" w:eastAsia="黑体" w:cs="黑体"/>
          <w:color w:val="000000"/>
          <w:kern w:val="0"/>
          <w:sz w:val="32"/>
          <w:szCs w:val="32"/>
        </w:rPr>
        <w:t>、供应商认为需要说明的其他内容</w:t>
      </w:r>
      <w:bookmarkEnd w:id="48"/>
    </w:p>
    <w:p w14:paraId="2A67CB6D">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C380235">
      <w:pPr>
        <w:pStyle w:val="46"/>
        <w:ind w:firstLine="522"/>
        <w:jc w:val="center"/>
        <w:rPr>
          <w:rFonts w:hint="eastAsia" w:ascii="宋体" w:hAnsi="宋体"/>
          <w:b/>
          <w:color w:val="auto"/>
        </w:rPr>
      </w:pPr>
    </w:p>
    <w:p w14:paraId="79724440">
      <w:pPr>
        <w:pStyle w:val="46"/>
        <w:ind w:firstLine="522"/>
        <w:jc w:val="center"/>
        <w:rPr>
          <w:rFonts w:hint="eastAsia" w:ascii="宋体" w:hAnsi="宋体"/>
          <w:b/>
          <w:color w:val="auto"/>
        </w:rPr>
      </w:pPr>
    </w:p>
    <w:p w14:paraId="504E1059">
      <w:pPr>
        <w:pStyle w:val="46"/>
        <w:ind w:firstLine="522"/>
        <w:jc w:val="center"/>
        <w:rPr>
          <w:rFonts w:hint="eastAsia" w:ascii="宋体" w:hAnsi="宋体"/>
          <w:b/>
          <w:color w:val="auto"/>
        </w:rPr>
      </w:pPr>
    </w:p>
    <w:p w14:paraId="5F9F9622">
      <w:pPr>
        <w:pStyle w:val="46"/>
        <w:ind w:firstLine="522"/>
        <w:jc w:val="center"/>
        <w:rPr>
          <w:rFonts w:hint="eastAsia" w:ascii="宋体" w:hAnsi="宋体"/>
          <w:b/>
          <w:color w:val="auto"/>
        </w:rPr>
      </w:pPr>
    </w:p>
    <w:p w14:paraId="6AE7789C">
      <w:pPr>
        <w:pStyle w:val="46"/>
        <w:ind w:firstLine="522"/>
        <w:jc w:val="center"/>
        <w:rPr>
          <w:rFonts w:hint="eastAsia" w:ascii="宋体" w:hAnsi="宋体"/>
          <w:b/>
          <w:color w:val="auto"/>
        </w:rPr>
      </w:pPr>
    </w:p>
    <w:p w14:paraId="61D32E51">
      <w:pPr>
        <w:pStyle w:val="46"/>
        <w:ind w:firstLine="522"/>
        <w:jc w:val="center"/>
        <w:rPr>
          <w:rFonts w:hint="eastAsia" w:ascii="宋体" w:hAnsi="宋体"/>
          <w:b/>
          <w:color w:val="auto"/>
        </w:rPr>
      </w:pPr>
    </w:p>
    <w:p w14:paraId="1BEDC674">
      <w:pPr>
        <w:pStyle w:val="46"/>
        <w:ind w:firstLine="522"/>
        <w:jc w:val="center"/>
        <w:rPr>
          <w:rFonts w:hint="eastAsia" w:ascii="宋体" w:hAnsi="宋体"/>
          <w:b/>
          <w:color w:val="auto"/>
        </w:rPr>
      </w:pPr>
    </w:p>
    <w:p w14:paraId="28403D06">
      <w:pPr>
        <w:pStyle w:val="46"/>
        <w:ind w:firstLine="522"/>
        <w:jc w:val="center"/>
        <w:rPr>
          <w:rFonts w:hint="eastAsia" w:ascii="宋体" w:hAnsi="宋体"/>
          <w:b/>
          <w:color w:val="auto"/>
        </w:rPr>
      </w:pPr>
    </w:p>
    <w:p w14:paraId="03FEE4AC">
      <w:pPr>
        <w:pStyle w:val="46"/>
        <w:ind w:firstLine="522"/>
        <w:jc w:val="center"/>
        <w:rPr>
          <w:rFonts w:hint="eastAsia" w:ascii="宋体" w:hAnsi="宋体"/>
          <w:b/>
          <w:color w:val="auto"/>
        </w:rPr>
      </w:pPr>
    </w:p>
    <w:p w14:paraId="29121657">
      <w:pPr>
        <w:pStyle w:val="46"/>
        <w:ind w:firstLine="522"/>
        <w:jc w:val="center"/>
        <w:rPr>
          <w:rFonts w:hint="eastAsia" w:ascii="宋体" w:hAnsi="宋体"/>
          <w:b/>
          <w:color w:val="auto"/>
        </w:rPr>
      </w:pPr>
    </w:p>
    <w:p w14:paraId="394215B9">
      <w:pPr>
        <w:pStyle w:val="46"/>
        <w:ind w:left="0" w:leftChars="0" w:firstLine="0" w:firstLineChars="0"/>
        <w:jc w:val="center"/>
        <w:rPr>
          <w:rFonts w:ascii="宋体" w:hAnsi="宋体"/>
          <w:b/>
          <w:color w:val="auto"/>
        </w:rPr>
      </w:pPr>
      <w:r>
        <w:rPr>
          <w:rFonts w:hint="eastAsia" w:ascii="宋体" w:hAnsi="宋体"/>
          <w:b/>
          <w:color w:val="auto"/>
        </w:rPr>
        <w:t>（第</w:t>
      </w:r>
      <w:r>
        <w:rPr>
          <w:rFonts w:hint="eastAsia" w:ascii="宋体" w:hAnsi="宋体"/>
          <w:b/>
          <w:color w:val="auto"/>
          <w:u w:val="single"/>
        </w:rPr>
        <w:t xml:space="preserve">      </w:t>
      </w:r>
      <w:r>
        <w:rPr>
          <w:rFonts w:hint="eastAsia" w:ascii="宋体" w:hAnsi="宋体"/>
          <w:b/>
          <w:color w:val="auto"/>
        </w:rPr>
        <w:t>次报价书）</w:t>
      </w:r>
    </w:p>
    <w:p w14:paraId="1347D8BA">
      <w:pPr>
        <w:jc w:val="center"/>
        <w:rPr>
          <w:sz w:val="28"/>
          <w:szCs w:val="28"/>
        </w:rPr>
      </w:pPr>
      <w:r>
        <w:t xml:space="preserve">                                                </w:t>
      </w:r>
    </w:p>
    <w:p w14:paraId="54534B65">
      <w:pPr>
        <w:spacing w:line="560" w:lineRule="exact"/>
        <w:ind w:firstLine="482" w:firstLineChars="200"/>
        <w:jc w:val="left"/>
        <w:rPr>
          <w:rFonts w:hint="eastAsia" w:ascii="仿宋_GB2312" w:hAnsi="仿宋_GB2312" w:eastAsia="仿宋_GB2312" w:cs="仿宋_GB2312"/>
          <w:sz w:val="28"/>
          <w:szCs w:val="28"/>
          <w:u w:val="none"/>
        </w:rPr>
      </w:pPr>
      <w:r>
        <w:rPr>
          <w:rFonts w:hint="eastAsia" w:ascii="宋体" w:hAnsi="宋体"/>
          <w:b/>
          <w:snapToGrid w:val="0"/>
          <w:kern w:val="0"/>
          <w:sz w:val="24"/>
          <w:szCs w:val="28"/>
        </w:rPr>
        <w:t>项目名称：</w:t>
      </w:r>
      <w:r>
        <w:rPr>
          <w:rFonts w:hint="eastAsia" w:ascii="仿宋_GB2312" w:hAnsi="仿宋_GB2312" w:eastAsia="仿宋_GB2312" w:cs="仿宋_GB2312"/>
          <w:sz w:val="28"/>
          <w:szCs w:val="28"/>
          <w:u w:val="none"/>
          <w:lang w:val="en-US" w:eastAsia="zh-CN"/>
        </w:rPr>
        <w:t>阜阳市肿瘤医院药品追溯码全流程闭环系统采购项目</w:t>
      </w:r>
    </w:p>
    <w:p w14:paraId="22C53AE2">
      <w:pPr>
        <w:snapToGrid w:val="0"/>
        <w:spacing w:line="360" w:lineRule="auto"/>
        <w:ind w:firstLine="482" w:firstLineChars="200"/>
        <w:jc w:val="left"/>
        <w:rPr>
          <w:rFonts w:hint="default" w:ascii="仿宋_GB2312" w:hAnsi="仿宋_GB2312" w:eastAsia="仿宋_GB2312" w:cs="仿宋_GB2312"/>
          <w:sz w:val="28"/>
          <w:szCs w:val="28"/>
          <w:u w:val="single"/>
          <w:lang w:val="en-US" w:eastAsia="zh-CN"/>
        </w:rPr>
      </w:pPr>
      <w:r>
        <w:rPr>
          <w:rFonts w:hint="eastAsia" w:ascii="宋体" w:hAnsi="宋体"/>
          <w:b/>
          <w:snapToGrid w:val="0"/>
          <w:kern w:val="0"/>
          <w:sz w:val="24"/>
          <w:szCs w:val="28"/>
        </w:rPr>
        <w:t>项目编号：</w:t>
      </w:r>
      <w:r>
        <w:rPr>
          <w:rFonts w:hint="eastAsia" w:ascii="仿宋_GB2312" w:hAnsi="仿宋_GB2312" w:eastAsia="仿宋_GB2312" w:cs="仿宋_GB2312"/>
          <w:sz w:val="28"/>
          <w:szCs w:val="28"/>
          <w:u w:val="single"/>
        </w:rPr>
        <w:t>ZLYYCG-202</w:t>
      </w:r>
      <w:r>
        <w:rPr>
          <w:rFonts w:hint="eastAsia" w:ascii="仿宋_GB2312" w:hAnsi="仿宋_GB2312" w:eastAsia="仿宋_GB2312" w:cs="仿宋_GB2312"/>
          <w:sz w:val="28"/>
          <w:szCs w:val="28"/>
          <w:u w:val="single"/>
          <w:lang w:val="en-US" w:eastAsia="zh-CN"/>
        </w:rPr>
        <w:t>5010</w:t>
      </w:r>
    </w:p>
    <w:tbl>
      <w:tblPr>
        <w:tblStyle w:val="2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4175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633" w:type="dxa"/>
            <w:tcBorders>
              <w:top w:val="single" w:color="auto" w:sz="4" w:space="0"/>
              <w:left w:val="single" w:color="auto" w:sz="4" w:space="0"/>
              <w:bottom w:val="single" w:color="auto" w:sz="4" w:space="0"/>
              <w:right w:val="single" w:color="auto" w:sz="4" w:space="0"/>
            </w:tcBorders>
            <w:vAlign w:val="center"/>
          </w:tcPr>
          <w:p w14:paraId="53ABC095">
            <w:pPr>
              <w:spacing w:line="360" w:lineRule="auto"/>
              <w:jc w:val="center"/>
              <w:rPr>
                <w:rFonts w:ascii="宋体" w:hAnsi="宋体"/>
                <w:b/>
                <w:snapToGrid w:val="0"/>
                <w:kern w:val="0"/>
                <w:sz w:val="24"/>
              </w:rPr>
            </w:pPr>
            <w:r>
              <w:rPr>
                <w:rFonts w:hint="eastAsia" w:ascii="宋体" w:hAnsi="宋体"/>
                <w:b/>
                <w:snapToGrid w:val="0"/>
                <w:kern w:val="0"/>
                <w:sz w:val="24"/>
              </w:rPr>
              <w:t>供应商名称</w:t>
            </w:r>
          </w:p>
        </w:tc>
        <w:tc>
          <w:tcPr>
            <w:tcW w:w="6492" w:type="dxa"/>
            <w:tcBorders>
              <w:left w:val="single" w:color="auto" w:sz="4" w:space="0"/>
            </w:tcBorders>
            <w:vAlign w:val="center"/>
          </w:tcPr>
          <w:p w14:paraId="7D24A7A8">
            <w:pPr>
              <w:spacing w:line="360" w:lineRule="auto"/>
              <w:rPr>
                <w:rFonts w:ascii="宋体" w:hAnsi="宋体"/>
                <w:b/>
                <w:snapToGrid w:val="0"/>
                <w:kern w:val="0"/>
                <w:sz w:val="24"/>
              </w:rPr>
            </w:pPr>
          </w:p>
        </w:tc>
      </w:tr>
      <w:tr w14:paraId="05A1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633" w:type="dxa"/>
            <w:tcBorders>
              <w:top w:val="single" w:color="auto" w:sz="4" w:space="0"/>
              <w:left w:val="single" w:color="auto" w:sz="4" w:space="0"/>
              <w:bottom w:val="single" w:color="auto" w:sz="4" w:space="0"/>
              <w:right w:val="single" w:color="auto" w:sz="4" w:space="0"/>
            </w:tcBorders>
            <w:vAlign w:val="center"/>
          </w:tcPr>
          <w:p w14:paraId="0638F39A">
            <w:pPr>
              <w:spacing w:line="360" w:lineRule="exact"/>
              <w:jc w:val="center"/>
              <w:rPr>
                <w:rFonts w:ascii="宋体" w:hAnsi="宋体"/>
                <w:b/>
                <w:snapToGrid w:val="0"/>
                <w:kern w:val="0"/>
                <w:sz w:val="24"/>
              </w:rPr>
            </w:pPr>
            <w:r>
              <w:rPr>
                <w:rFonts w:hint="eastAsia" w:ascii="宋体" w:hAnsi="宋体"/>
                <w:b/>
                <w:bCs/>
                <w:snapToGrid w:val="0"/>
                <w:kern w:val="0"/>
                <w:sz w:val="24"/>
                <w:szCs w:val="28"/>
              </w:rPr>
              <w:t>询比</w:t>
            </w:r>
            <w:r>
              <w:rPr>
                <w:rFonts w:hint="eastAsia" w:ascii="宋体" w:hAnsi="宋体"/>
                <w:b/>
                <w:snapToGrid w:val="0"/>
                <w:kern w:val="0"/>
                <w:sz w:val="24"/>
              </w:rPr>
              <w:t>范围</w:t>
            </w:r>
          </w:p>
        </w:tc>
        <w:tc>
          <w:tcPr>
            <w:tcW w:w="6492" w:type="dxa"/>
            <w:tcBorders>
              <w:left w:val="single" w:color="auto" w:sz="4" w:space="0"/>
            </w:tcBorders>
            <w:vAlign w:val="center"/>
          </w:tcPr>
          <w:p w14:paraId="018483E1">
            <w:pPr>
              <w:widowControl/>
              <w:spacing w:line="360" w:lineRule="exact"/>
              <w:rPr>
                <w:rFonts w:ascii="宋体" w:hAnsi="宋体"/>
                <w:b/>
                <w:snapToGrid w:val="0"/>
                <w:kern w:val="0"/>
                <w:sz w:val="24"/>
              </w:rPr>
            </w:pPr>
            <w:r>
              <w:rPr>
                <w:rFonts w:hint="eastAsia" w:ascii="宋体" w:hAnsi="宋体"/>
                <w:snapToGrid w:val="0"/>
                <w:kern w:val="0"/>
                <w:sz w:val="24"/>
                <w:szCs w:val="28"/>
              </w:rPr>
              <w:t>全部</w:t>
            </w:r>
          </w:p>
        </w:tc>
      </w:tr>
      <w:tr w14:paraId="301D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2633" w:type="dxa"/>
            <w:tcBorders>
              <w:top w:val="single" w:color="auto" w:sz="4" w:space="0"/>
            </w:tcBorders>
            <w:vAlign w:val="center"/>
          </w:tcPr>
          <w:p w14:paraId="2F08309E">
            <w:pPr>
              <w:spacing w:line="360" w:lineRule="auto"/>
              <w:jc w:val="center"/>
              <w:rPr>
                <w:rFonts w:ascii="宋体" w:hAnsi="宋体"/>
                <w:b/>
                <w:snapToGrid w:val="0"/>
                <w:kern w:val="0"/>
                <w:sz w:val="24"/>
              </w:rPr>
            </w:pPr>
            <w:r>
              <w:rPr>
                <w:rFonts w:hint="eastAsia" w:ascii="宋体" w:hAnsi="宋体"/>
                <w:b/>
                <w:snapToGrid w:val="0"/>
                <w:kern w:val="0"/>
                <w:sz w:val="24"/>
              </w:rPr>
              <w:t>询比报价</w:t>
            </w:r>
          </w:p>
        </w:tc>
        <w:tc>
          <w:tcPr>
            <w:tcW w:w="6492" w:type="dxa"/>
            <w:vAlign w:val="center"/>
          </w:tcPr>
          <w:p w14:paraId="4E76C045">
            <w:pPr>
              <w:snapToGrid w:val="0"/>
              <w:spacing w:line="360" w:lineRule="auto"/>
              <w:rPr>
                <w:rFonts w:ascii="宋体" w:hAnsi="宋体"/>
                <w:sz w:val="24"/>
              </w:rPr>
            </w:pPr>
          </w:p>
          <w:p w14:paraId="393560ED">
            <w:pPr>
              <w:snapToGrid w:val="0"/>
              <w:spacing w:line="360" w:lineRule="auto"/>
              <w:rPr>
                <w:rFonts w:ascii="宋体" w:hAnsi="宋体"/>
                <w:snapToGrid w:val="0"/>
                <w:kern w:val="0"/>
                <w:sz w:val="24"/>
                <w:szCs w:val="28"/>
              </w:rPr>
            </w:pPr>
            <w:r>
              <w:rPr>
                <w:rFonts w:hint="eastAsia" w:ascii="宋体" w:hAnsi="宋体"/>
                <w:sz w:val="24"/>
              </w:rPr>
              <w:t>大写：</w:t>
            </w:r>
            <w:r>
              <w:rPr>
                <w:rFonts w:hint="eastAsia" w:ascii="宋体" w:hAnsi="宋体"/>
                <w:sz w:val="24"/>
                <w:u w:val="single"/>
              </w:rPr>
              <w:t xml:space="preserve">            </w:t>
            </w:r>
          </w:p>
          <w:p w14:paraId="5CAC405E">
            <w:pPr>
              <w:snapToGrid w:val="0"/>
              <w:spacing w:line="360" w:lineRule="auto"/>
              <w:rPr>
                <w:rFonts w:ascii="宋体" w:hAnsi="宋体"/>
                <w:sz w:val="24"/>
              </w:rPr>
            </w:pPr>
            <w:r>
              <w:rPr>
                <w:rFonts w:hint="eastAsia" w:ascii="宋体" w:hAnsi="宋体"/>
                <w:sz w:val="24"/>
              </w:rPr>
              <w:t>小写：</w:t>
            </w:r>
            <w:r>
              <w:rPr>
                <w:rFonts w:hint="eastAsia" w:ascii="宋体" w:hAnsi="宋体"/>
                <w:sz w:val="24"/>
                <w:u w:val="single"/>
              </w:rPr>
              <w:t xml:space="preserve">          元</w:t>
            </w:r>
          </w:p>
        </w:tc>
      </w:tr>
      <w:tr w14:paraId="6F14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2633" w:type="dxa"/>
            <w:vAlign w:val="center"/>
          </w:tcPr>
          <w:p w14:paraId="580381A4">
            <w:pPr>
              <w:spacing w:line="360" w:lineRule="auto"/>
              <w:jc w:val="center"/>
              <w:rPr>
                <w:rFonts w:ascii="宋体" w:hAnsi="宋体"/>
                <w:b/>
                <w:snapToGrid w:val="0"/>
                <w:kern w:val="0"/>
                <w:sz w:val="24"/>
              </w:rPr>
            </w:pPr>
            <w:r>
              <w:rPr>
                <w:rFonts w:hint="eastAsia" w:ascii="宋体" w:hAnsi="宋体"/>
                <w:b/>
                <w:snapToGrid w:val="0"/>
                <w:kern w:val="0"/>
                <w:sz w:val="24"/>
              </w:rPr>
              <w:t>备注</w:t>
            </w:r>
          </w:p>
        </w:tc>
        <w:tc>
          <w:tcPr>
            <w:tcW w:w="6492" w:type="dxa"/>
            <w:vAlign w:val="center"/>
          </w:tcPr>
          <w:p w14:paraId="11D1F7BD">
            <w:pPr>
              <w:spacing w:line="360" w:lineRule="auto"/>
              <w:rPr>
                <w:rFonts w:ascii="宋体" w:hAnsi="宋体"/>
                <w:b/>
                <w:snapToGrid w:val="0"/>
                <w:kern w:val="0"/>
                <w:sz w:val="24"/>
              </w:rPr>
            </w:pPr>
          </w:p>
        </w:tc>
      </w:tr>
    </w:tbl>
    <w:p w14:paraId="458CB997">
      <w:pPr>
        <w:spacing w:after="120"/>
        <w:rPr>
          <w:rFonts w:ascii="宋体" w:hAnsi="宋体"/>
          <w:b/>
          <w:sz w:val="24"/>
        </w:rPr>
      </w:pPr>
    </w:p>
    <w:p w14:paraId="12C1BA77">
      <w:pPr>
        <w:spacing w:after="120"/>
        <w:rPr>
          <w:rFonts w:ascii="宋体" w:hAnsi="宋体"/>
          <w:b/>
          <w:szCs w:val="20"/>
        </w:rPr>
      </w:pPr>
      <w:r>
        <w:rPr>
          <w:rFonts w:hint="eastAsia" w:ascii="宋体" w:hAnsi="宋体"/>
          <w:b/>
          <w:szCs w:val="20"/>
        </w:rPr>
        <w:t>法定代表人或委托代理人签字：</w:t>
      </w:r>
      <w:r>
        <w:rPr>
          <w:rFonts w:hint="eastAsia" w:ascii="宋体" w:hAnsi="宋体"/>
          <w:b/>
          <w:szCs w:val="20"/>
          <w:u w:val="single"/>
        </w:rPr>
        <w:t xml:space="preserve">                         </w:t>
      </w:r>
      <w:r>
        <w:rPr>
          <w:rFonts w:hint="eastAsia" w:ascii="宋体" w:hAnsi="宋体"/>
          <w:b/>
          <w:szCs w:val="20"/>
        </w:rPr>
        <w:t xml:space="preserve">    </w:t>
      </w:r>
    </w:p>
    <w:p w14:paraId="1235DF0A">
      <w:pPr>
        <w:spacing w:after="120"/>
        <w:rPr>
          <w:rFonts w:hint="eastAsia" w:ascii="宋体" w:hAnsi="宋体"/>
          <w:b/>
          <w:szCs w:val="20"/>
        </w:rPr>
      </w:pPr>
    </w:p>
    <w:p w14:paraId="604A817D">
      <w:pPr>
        <w:spacing w:after="120"/>
        <w:rPr>
          <w:rFonts w:ascii="宋体" w:hAnsi="宋体"/>
          <w:b/>
          <w:snapToGrid w:val="0"/>
          <w:kern w:val="0"/>
          <w:sz w:val="24"/>
        </w:rPr>
      </w:pPr>
      <w:r>
        <w:rPr>
          <w:rFonts w:hint="eastAsia" w:ascii="宋体" w:hAnsi="宋体"/>
          <w:b/>
          <w:szCs w:val="20"/>
        </w:rPr>
        <w:t>法定代表人或委托代理人</w:t>
      </w:r>
      <w:r>
        <w:rPr>
          <w:rFonts w:hint="eastAsia"/>
          <w:b/>
          <w:szCs w:val="20"/>
        </w:rPr>
        <w:t>身份证号：</w:t>
      </w:r>
      <w:r>
        <w:rPr>
          <w:rFonts w:hint="eastAsia"/>
          <w:b/>
          <w:szCs w:val="20"/>
          <w:u w:val="single"/>
        </w:rPr>
        <w:t xml:space="preserve">                        </w:t>
      </w:r>
      <w:r>
        <w:rPr>
          <w:rFonts w:hint="eastAsia"/>
          <w:b/>
        </w:rPr>
        <w:t xml:space="preserve">  </w:t>
      </w:r>
    </w:p>
    <w:p w14:paraId="206F9719">
      <w:pPr>
        <w:rPr>
          <w:rFonts w:hint="eastAsia" w:ascii="宋体" w:hAnsi="宋体"/>
          <w:b/>
          <w:snapToGrid w:val="0"/>
          <w:kern w:val="0"/>
          <w:sz w:val="24"/>
        </w:rPr>
      </w:pPr>
    </w:p>
    <w:p w14:paraId="7DE1679B">
      <w:r>
        <w:rPr>
          <w:rFonts w:hint="eastAsia" w:ascii="宋体" w:hAnsi="宋体"/>
          <w:b/>
          <w:snapToGrid w:val="0"/>
          <w:kern w:val="0"/>
          <w:sz w:val="24"/>
        </w:rPr>
        <w:t>日期：</w:t>
      </w:r>
      <w:r>
        <w:rPr>
          <w:rFonts w:hint="eastAsia" w:ascii="宋体" w:hAnsi="宋体"/>
          <w:b/>
          <w:snapToGrid w:val="0"/>
          <w:kern w:val="0"/>
          <w:sz w:val="24"/>
          <w:u w:val="single"/>
        </w:rPr>
        <w:t xml:space="preserve">                </w:t>
      </w:r>
      <w:r>
        <w:rPr>
          <w:rFonts w:hint="eastAsia" w:ascii="宋体" w:hAnsi="宋体"/>
          <w:b/>
          <w:snapToGrid w:val="0"/>
          <w:kern w:val="0"/>
          <w:sz w:val="24"/>
        </w:rPr>
        <w:t xml:space="preserve">         </w:t>
      </w:r>
      <w:r>
        <w:rPr>
          <w:rFonts w:hint="eastAsia" w:ascii="宋体" w:hAnsi="宋体"/>
          <w:snapToGrid w:val="0"/>
          <w:kern w:val="0"/>
          <w:sz w:val="24"/>
        </w:rPr>
        <w:t xml:space="preserve">   </w:t>
      </w:r>
    </w:p>
    <w:p w14:paraId="39992F9B">
      <w:pPr>
        <w:tabs>
          <w:tab w:val="left" w:pos="4620"/>
        </w:tabs>
        <w:spacing w:line="360" w:lineRule="auto"/>
        <w:rPr>
          <w:rFonts w:hint="eastAsia" w:ascii="宋体" w:hAnsi="宋体" w:eastAsia="宋体"/>
          <w:sz w:val="28"/>
          <w:szCs w:val="28"/>
          <w:lang w:eastAsia="zh-CN"/>
        </w:rPr>
      </w:pPr>
    </w:p>
    <w:p w14:paraId="67B9AC46">
      <w:pPr>
        <w:tabs>
          <w:tab w:val="left" w:pos="4620"/>
        </w:tabs>
        <w:spacing w:line="360" w:lineRule="auto"/>
        <w:rPr>
          <w:rFonts w:hint="eastAsia" w:ascii="宋体" w:hAnsi="宋体" w:eastAsia="宋体"/>
          <w:sz w:val="28"/>
          <w:szCs w:val="28"/>
          <w:lang w:eastAsia="zh-CN"/>
        </w:rPr>
      </w:pPr>
    </w:p>
    <w:p w14:paraId="4B3657D5">
      <w:pPr>
        <w:tabs>
          <w:tab w:val="left" w:pos="4620"/>
        </w:tabs>
        <w:spacing w:line="360" w:lineRule="auto"/>
        <w:rPr>
          <w:rFonts w:hint="eastAsia" w:ascii="宋体" w:hAnsi="宋体" w:eastAsia="宋体"/>
          <w:sz w:val="28"/>
          <w:szCs w:val="28"/>
          <w:lang w:eastAsia="zh-CN"/>
        </w:rPr>
      </w:pPr>
    </w:p>
    <w:p w14:paraId="716DBAF7">
      <w:pPr>
        <w:tabs>
          <w:tab w:val="left" w:pos="4620"/>
        </w:tabs>
        <w:spacing w:line="360" w:lineRule="auto"/>
        <w:rPr>
          <w:rFonts w:hint="eastAsia" w:ascii="宋体" w:hAnsi="宋体" w:eastAsia="宋体"/>
          <w:sz w:val="28"/>
          <w:szCs w:val="28"/>
          <w:lang w:eastAsia="zh-CN"/>
        </w:rPr>
      </w:pPr>
    </w:p>
    <w:p w14:paraId="7812182C">
      <w:pPr>
        <w:tabs>
          <w:tab w:val="left" w:pos="4620"/>
        </w:tabs>
        <w:spacing w:line="360" w:lineRule="auto"/>
        <w:rPr>
          <w:rFonts w:hint="eastAsia" w:ascii="宋体" w:hAnsi="宋体" w:eastAsia="宋体"/>
          <w:sz w:val="28"/>
          <w:szCs w:val="28"/>
          <w:lang w:eastAsia="zh-CN"/>
        </w:rPr>
      </w:pPr>
    </w:p>
    <w:sectPr>
      <w:footerReference r:id="rId6" w:type="default"/>
      <w:pgSz w:w="11906" w:h="16838"/>
      <w:pgMar w:top="1440" w:right="964" w:bottom="850" w:left="1417"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1733C7-8A57-4E14-9B59-398DC93718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59C5B06-C42B-4814-8A4B-CD7D46983291}"/>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C8CA1E1B-B615-4498-BDAA-2C93D508F409}"/>
  </w:font>
  <w:font w:name="楷体_GB2312">
    <w:altName w:val="楷体"/>
    <w:panose1 w:val="00000000000000000000"/>
    <w:charset w:val="86"/>
    <w:family w:val="modern"/>
    <w:pitch w:val="default"/>
    <w:sig w:usb0="00000000" w:usb1="00000000" w:usb2="00000000" w:usb3="00000000" w:csb0="00040000" w:csb1="00000000"/>
    <w:embedRegular r:id="rId4" w:fontKey="{E1D62775-9BFE-4444-981C-0BC1F695DC6C}"/>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5" w:fontKey="{376DE211-200F-4337-9F09-41E9213C27DF}"/>
  </w:font>
  <w:font w:name="Wingdings 2">
    <w:panose1 w:val="05020102010507070707"/>
    <w:charset w:val="02"/>
    <w:family w:val="roman"/>
    <w:pitch w:val="default"/>
    <w:sig w:usb0="00000000" w:usb1="00000000" w:usb2="00000000" w:usb3="00000000" w:csb0="80000000" w:csb1="00000000"/>
    <w:embedRegular r:id="rId6" w:fontKey="{881EC537-41EC-4012-A6E7-16249F06BD47}"/>
  </w:font>
  <w:font w:name="方正小标宋简体">
    <w:panose1 w:val="02000000000000000000"/>
    <w:charset w:val="86"/>
    <w:family w:val="auto"/>
    <w:pitch w:val="default"/>
    <w:sig w:usb0="00000001" w:usb1="08000000" w:usb2="00000000" w:usb3="00000000" w:csb0="00040000" w:csb1="00000000"/>
    <w:embedRegular r:id="rId7" w:fontKey="{7C252CB3-23A8-4FE6-B31D-249B8B9506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5E3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0F05B">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D1CF9">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1CD1CF9">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1DAF4">
    <w:pPr>
      <w:pStyle w:val="17"/>
      <w:jc w:val="left"/>
      <w:rPr>
        <w:sz w:val="15"/>
        <w:szCs w:val="15"/>
      </w:rPr>
    </w:pPr>
    <w:r>
      <w:rPr>
        <w:rFonts w:hint="eastAsia"/>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73A13">
    <w:pPr>
      <w:pStyle w:val="17"/>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81C7F"/>
    <w:multiLevelType w:val="singleLevel"/>
    <w:tmpl w:val="B5781C7F"/>
    <w:lvl w:ilvl="0" w:tentative="0">
      <w:start w:val="1"/>
      <w:numFmt w:val="decimal"/>
      <w:suff w:val="nothing"/>
      <w:lvlText w:val="（%1）"/>
      <w:lvlJc w:val="left"/>
    </w:lvl>
  </w:abstractNum>
  <w:abstractNum w:abstractNumId="1">
    <w:nsid w:val="C59226E6"/>
    <w:multiLevelType w:val="singleLevel"/>
    <w:tmpl w:val="C59226E6"/>
    <w:lvl w:ilvl="0" w:tentative="0">
      <w:start w:val="1"/>
      <w:numFmt w:val="decimal"/>
      <w:suff w:val="nothing"/>
      <w:lvlText w:val="%1、"/>
      <w:lvlJc w:val="left"/>
    </w:lvl>
  </w:abstractNum>
  <w:abstractNum w:abstractNumId="2">
    <w:nsid w:val="EC832CC0"/>
    <w:multiLevelType w:val="singleLevel"/>
    <w:tmpl w:val="EC832CC0"/>
    <w:lvl w:ilvl="0" w:tentative="0">
      <w:start w:val="2"/>
      <w:numFmt w:val="chineseCounting"/>
      <w:suff w:val="nothing"/>
      <w:lvlText w:val="（%1）"/>
      <w:lvlJc w:val="left"/>
      <w:rPr>
        <w:rFonts w:hint="eastAsia"/>
      </w:rPr>
    </w:lvl>
  </w:abstractNum>
  <w:abstractNum w:abstractNumId="3">
    <w:nsid w:val="F836A6BD"/>
    <w:multiLevelType w:val="singleLevel"/>
    <w:tmpl w:val="F836A6BD"/>
    <w:lvl w:ilvl="0" w:tentative="0">
      <w:start w:val="1"/>
      <w:numFmt w:val="decimal"/>
      <w:suff w:val="nothing"/>
      <w:lvlText w:val="（%1）"/>
      <w:lvlJc w:val="left"/>
    </w:lvl>
  </w:abstractNum>
  <w:abstractNum w:abstractNumId="4">
    <w:nsid w:val="FBAEEE3A"/>
    <w:multiLevelType w:val="singleLevel"/>
    <w:tmpl w:val="FBAEEE3A"/>
    <w:lvl w:ilvl="0" w:tentative="0">
      <w:start w:val="1"/>
      <w:numFmt w:val="decimal"/>
      <w:suff w:val="nothing"/>
      <w:lvlText w:val="（%1）"/>
      <w:lvlJc w:val="left"/>
    </w:lvl>
  </w:abstractNum>
  <w:abstractNum w:abstractNumId="5">
    <w:nsid w:val="FDC87656"/>
    <w:multiLevelType w:val="singleLevel"/>
    <w:tmpl w:val="FDC87656"/>
    <w:lvl w:ilvl="0" w:tentative="0">
      <w:start w:val="1"/>
      <w:numFmt w:val="decimal"/>
      <w:suff w:val="nothing"/>
      <w:lvlText w:val="%1、"/>
      <w:lvlJc w:val="left"/>
    </w:lvl>
  </w:abstractNum>
  <w:abstractNum w:abstractNumId="6">
    <w:nsid w:val="02077C8D"/>
    <w:multiLevelType w:val="multilevel"/>
    <w:tmpl w:val="02077C8D"/>
    <w:lvl w:ilvl="0" w:tentative="0">
      <w:start w:val="1"/>
      <w:numFmt w:val="chineseCountingThousand"/>
      <w:lvlText w:val="(%1)"/>
      <w:lvlJc w:val="left"/>
      <w:pPr>
        <w:ind w:left="2100" w:hanging="420"/>
      </w:p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7">
    <w:nsid w:val="0C084522"/>
    <w:multiLevelType w:val="multilevel"/>
    <w:tmpl w:val="0C084522"/>
    <w:lvl w:ilvl="0" w:tentative="0">
      <w:start w:val="1"/>
      <w:numFmt w:val="chineseCountingThousand"/>
      <w:lvlText w:val="(%1)"/>
      <w:lvlJc w:val="left"/>
      <w:pPr>
        <w:ind w:left="2100" w:hanging="420"/>
      </w:p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8">
    <w:nsid w:val="44E45573"/>
    <w:multiLevelType w:val="singleLevel"/>
    <w:tmpl w:val="44E45573"/>
    <w:lvl w:ilvl="0" w:tentative="0">
      <w:start w:val="3"/>
      <w:numFmt w:val="chineseCounting"/>
      <w:suff w:val="space"/>
      <w:lvlText w:val="第%1章"/>
      <w:lvlJc w:val="left"/>
      <w:rPr>
        <w:rFonts w:hint="eastAsia"/>
      </w:rPr>
    </w:lvl>
  </w:abstractNum>
  <w:abstractNum w:abstractNumId="9">
    <w:nsid w:val="453A12F1"/>
    <w:multiLevelType w:val="multilevel"/>
    <w:tmpl w:val="453A12F1"/>
    <w:lvl w:ilvl="0" w:tentative="0">
      <w:start w:val="1"/>
      <w:numFmt w:val="chineseCountingThousand"/>
      <w:lvlText w:val="(%1)"/>
      <w:lvlJc w:val="left"/>
      <w:pPr>
        <w:ind w:left="2100" w:hanging="420"/>
      </w:p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10">
    <w:nsid w:val="52832B80"/>
    <w:multiLevelType w:val="multilevel"/>
    <w:tmpl w:val="52832B80"/>
    <w:lvl w:ilvl="0" w:tentative="0">
      <w:start w:val="1"/>
      <w:numFmt w:val="japaneseCounting"/>
      <w:lvlText w:val="（%1）"/>
      <w:lvlJc w:val="left"/>
      <w:pPr>
        <w:ind w:left="1004" w:hanging="72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
  </w:num>
  <w:num w:numId="2">
    <w:abstractNumId w:val="8"/>
  </w:num>
  <w:num w:numId="3">
    <w:abstractNumId w:val="10"/>
  </w:num>
  <w:num w:numId="4">
    <w:abstractNumId w:val="5"/>
  </w:num>
  <w:num w:numId="5">
    <w:abstractNumId w:val="7"/>
  </w:num>
  <w:num w:numId="6">
    <w:abstractNumId w:val="9"/>
  </w:num>
  <w:num w:numId="7">
    <w:abstractNumId w:val="6"/>
  </w:num>
  <w:num w:numId="8">
    <w:abstractNumId w:val="2"/>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YzE2YmEwMWE0MDY1Y2VhNDQzMDAxOTZjMGRlYTE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720839"/>
    <w:rsid w:val="032D516F"/>
    <w:rsid w:val="03875840"/>
    <w:rsid w:val="03A26FC8"/>
    <w:rsid w:val="03EC461B"/>
    <w:rsid w:val="04B04CC5"/>
    <w:rsid w:val="04B2162C"/>
    <w:rsid w:val="04C133B2"/>
    <w:rsid w:val="04C80BE4"/>
    <w:rsid w:val="04F80D9E"/>
    <w:rsid w:val="0515476E"/>
    <w:rsid w:val="054B35C3"/>
    <w:rsid w:val="05720C09"/>
    <w:rsid w:val="05EF03F3"/>
    <w:rsid w:val="060101C2"/>
    <w:rsid w:val="065E24B0"/>
    <w:rsid w:val="065F10D4"/>
    <w:rsid w:val="0671705A"/>
    <w:rsid w:val="068F128E"/>
    <w:rsid w:val="06913258"/>
    <w:rsid w:val="069C40D7"/>
    <w:rsid w:val="071B4038"/>
    <w:rsid w:val="07283BBC"/>
    <w:rsid w:val="078A03D3"/>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850A35"/>
    <w:rsid w:val="0B32717E"/>
    <w:rsid w:val="0B36445D"/>
    <w:rsid w:val="0B3D135F"/>
    <w:rsid w:val="0BB84DE3"/>
    <w:rsid w:val="0BBA0B5B"/>
    <w:rsid w:val="0BE72E0F"/>
    <w:rsid w:val="0BE8391A"/>
    <w:rsid w:val="0BF97C0A"/>
    <w:rsid w:val="0C6F1D62"/>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CA2301"/>
    <w:rsid w:val="0EEC54CF"/>
    <w:rsid w:val="0F366FAF"/>
    <w:rsid w:val="0F380715"/>
    <w:rsid w:val="0F5F1703"/>
    <w:rsid w:val="0FA472DF"/>
    <w:rsid w:val="0FDA33B4"/>
    <w:rsid w:val="100D1722"/>
    <w:rsid w:val="10A02A15"/>
    <w:rsid w:val="11B22F57"/>
    <w:rsid w:val="11FF551A"/>
    <w:rsid w:val="12353631"/>
    <w:rsid w:val="12B7344D"/>
    <w:rsid w:val="13001549"/>
    <w:rsid w:val="13385187"/>
    <w:rsid w:val="13871C6A"/>
    <w:rsid w:val="138C102F"/>
    <w:rsid w:val="142179C9"/>
    <w:rsid w:val="14425B8E"/>
    <w:rsid w:val="144357A0"/>
    <w:rsid w:val="145D66A8"/>
    <w:rsid w:val="148166BA"/>
    <w:rsid w:val="14883BEF"/>
    <w:rsid w:val="14E31122"/>
    <w:rsid w:val="15063063"/>
    <w:rsid w:val="151632A6"/>
    <w:rsid w:val="162D4D4B"/>
    <w:rsid w:val="16840CA4"/>
    <w:rsid w:val="16BF7C40"/>
    <w:rsid w:val="16D8458B"/>
    <w:rsid w:val="172F68A1"/>
    <w:rsid w:val="178F67C2"/>
    <w:rsid w:val="18075128"/>
    <w:rsid w:val="18383533"/>
    <w:rsid w:val="183D3240"/>
    <w:rsid w:val="189A41EE"/>
    <w:rsid w:val="18CB25F9"/>
    <w:rsid w:val="1A4B186B"/>
    <w:rsid w:val="1AB8095B"/>
    <w:rsid w:val="1AC24DF8"/>
    <w:rsid w:val="1B09565B"/>
    <w:rsid w:val="1B9211AC"/>
    <w:rsid w:val="1BCD6688"/>
    <w:rsid w:val="1BD712B5"/>
    <w:rsid w:val="1BE0016A"/>
    <w:rsid w:val="1C8F393E"/>
    <w:rsid w:val="1D216C8C"/>
    <w:rsid w:val="1D291FE4"/>
    <w:rsid w:val="1D4D7A81"/>
    <w:rsid w:val="1D725739"/>
    <w:rsid w:val="1D972A21"/>
    <w:rsid w:val="1DDB69B6"/>
    <w:rsid w:val="1DEC1347"/>
    <w:rsid w:val="1E236A34"/>
    <w:rsid w:val="1EAF2075"/>
    <w:rsid w:val="1EB82252"/>
    <w:rsid w:val="1EE241F9"/>
    <w:rsid w:val="1F69491A"/>
    <w:rsid w:val="1F882FF2"/>
    <w:rsid w:val="1F933745"/>
    <w:rsid w:val="1F9F033C"/>
    <w:rsid w:val="20174BAB"/>
    <w:rsid w:val="20210D51"/>
    <w:rsid w:val="20F5343A"/>
    <w:rsid w:val="212C3F81"/>
    <w:rsid w:val="21515A06"/>
    <w:rsid w:val="215F7D83"/>
    <w:rsid w:val="218A5EBD"/>
    <w:rsid w:val="220821C8"/>
    <w:rsid w:val="221A409F"/>
    <w:rsid w:val="223905D4"/>
    <w:rsid w:val="22400062"/>
    <w:rsid w:val="2241392C"/>
    <w:rsid w:val="228F6446"/>
    <w:rsid w:val="22BD2FB3"/>
    <w:rsid w:val="23007343"/>
    <w:rsid w:val="231B5F2B"/>
    <w:rsid w:val="235832D1"/>
    <w:rsid w:val="2378512C"/>
    <w:rsid w:val="239006C7"/>
    <w:rsid w:val="23962661"/>
    <w:rsid w:val="23962FF0"/>
    <w:rsid w:val="23EE53EE"/>
    <w:rsid w:val="24015121"/>
    <w:rsid w:val="24062738"/>
    <w:rsid w:val="241E3F25"/>
    <w:rsid w:val="243A03B5"/>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FA57AE"/>
    <w:rsid w:val="28074366"/>
    <w:rsid w:val="28475135"/>
    <w:rsid w:val="288802FB"/>
    <w:rsid w:val="28ED3EC6"/>
    <w:rsid w:val="28FF098D"/>
    <w:rsid w:val="29072B7B"/>
    <w:rsid w:val="2912392D"/>
    <w:rsid w:val="295D4718"/>
    <w:rsid w:val="29820AB2"/>
    <w:rsid w:val="29B81C08"/>
    <w:rsid w:val="29E27D80"/>
    <w:rsid w:val="2A077209"/>
    <w:rsid w:val="2B4D6E9E"/>
    <w:rsid w:val="2BB37649"/>
    <w:rsid w:val="2BB807BB"/>
    <w:rsid w:val="2BE75EA9"/>
    <w:rsid w:val="2C2A0DEC"/>
    <w:rsid w:val="2C5A1872"/>
    <w:rsid w:val="2CAA2343"/>
    <w:rsid w:val="2CF3049A"/>
    <w:rsid w:val="2D1342BB"/>
    <w:rsid w:val="2D5269EE"/>
    <w:rsid w:val="2D542766"/>
    <w:rsid w:val="2DB11966"/>
    <w:rsid w:val="2DEC299E"/>
    <w:rsid w:val="2E2F6603"/>
    <w:rsid w:val="2E6115DE"/>
    <w:rsid w:val="2E8C4181"/>
    <w:rsid w:val="2E902B57"/>
    <w:rsid w:val="2F240817"/>
    <w:rsid w:val="2F8135BA"/>
    <w:rsid w:val="2F9037FD"/>
    <w:rsid w:val="2FB63264"/>
    <w:rsid w:val="300849DC"/>
    <w:rsid w:val="306058C5"/>
    <w:rsid w:val="30B579BF"/>
    <w:rsid w:val="30DC319E"/>
    <w:rsid w:val="30E12562"/>
    <w:rsid w:val="312B7C81"/>
    <w:rsid w:val="31660CB9"/>
    <w:rsid w:val="31682607"/>
    <w:rsid w:val="31864EB8"/>
    <w:rsid w:val="319121DA"/>
    <w:rsid w:val="31973569"/>
    <w:rsid w:val="319B6BB5"/>
    <w:rsid w:val="319C292D"/>
    <w:rsid w:val="31AF7B91"/>
    <w:rsid w:val="31C70022"/>
    <w:rsid w:val="31C83722"/>
    <w:rsid w:val="31DF69BF"/>
    <w:rsid w:val="31EA6762"/>
    <w:rsid w:val="320F30FF"/>
    <w:rsid w:val="3240150B"/>
    <w:rsid w:val="32470AEB"/>
    <w:rsid w:val="32621481"/>
    <w:rsid w:val="328B70F6"/>
    <w:rsid w:val="330B690F"/>
    <w:rsid w:val="33572FB0"/>
    <w:rsid w:val="336203FA"/>
    <w:rsid w:val="33AB32FB"/>
    <w:rsid w:val="33B43F5E"/>
    <w:rsid w:val="33C72A37"/>
    <w:rsid w:val="34180991"/>
    <w:rsid w:val="34B03A81"/>
    <w:rsid w:val="35181A32"/>
    <w:rsid w:val="355359F9"/>
    <w:rsid w:val="35694E29"/>
    <w:rsid w:val="358636D8"/>
    <w:rsid w:val="35AB313F"/>
    <w:rsid w:val="35B96DA7"/>
    <w:rsid w:val="360C62D3"/>
    <w:rsid w:val="366C0B20"/>
    <w:rsid w:val="36BE50F4"/>
    <w:rsid w:val="36CE5337"/>
    <w:rsid w:val="37215DAE"/>
    <w:rsid w:val="372C6501"/>
    <w:rsid w:val="37557806"/>
    <w:rsid w:val="377C1237"/>
    <w:rsid w:val="3790083E"/>
    <w:rsid w:val="382A0C93"/>
    <w:rsid w:val="3849630D"/>
    <w:rsid w:val="384A30E3"/>
    <w:rsid w:val="3882287D"/>
    <w:rsid w:val="3885411B"/>
    <w:rsid w:val="38EE7F12"/>
    <w:rsid w:val="38F0217A"/>
    <w:rsid w:val="38F848ED"/>
    <w:rsid w:val="39033292"/>
    <w:rsid w:val="39761CB6"/>
    <w:rsid w:val="39CF661B"/>
    <w:rsid w:val="39D864CC"/>
    <w:rsid w:val="3A744447"/>
    <w:rsid w:val="3A8B33ED"/>
    <w:rsid w:val="3AA0348E"/>
    <w:rsid w:val="3AB17449"/>
    <w:rsid w:val="3ABC194A"/>
    <w:rsid w:val="3AF068F3"/>
    <w:rsid w:val="3AFE3F06"/>
    <w:rsid w:val="3B5953EB"/>
    <w:rsid w:val="3B9014B0"/>
    <w:rsid w:val="3BBF7944"/>
    <w:rsid w:val="3BD10D36"/>
    <w:rsid w:val="3BFA4E20"/>
    <w:rsid w:val="3C2970C2"/>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A81370"/>
    <w:rsid w:val="3FD634AE"/>
    <w:rsid w:val="3FEF133C"/>
    <w:rsid w:val="40152228"/>
    <w:rsid w:val="402C784B"/>
    <w:rsid w:val="4041301D"/>
    <w:rsid w:val="407D4983"/>
    <w:rsid w:val="40BC6B48"/>
    <w:rsid w:val="41106073"/>
    <w:rsid w:val="412D5C75"/>
    <w:rsid w:val="41405083"/>
    <w:rsid w:val="417C1E33"/>
    <w:rsid w:val="41832567"/>
    <w:rsid w:val="41B03F8A"/>
    <w:rsid w:val="41CC7221"/>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B1257F"/>
    <w:rsid w:val="46BF4C9C"/>
    <w:rsid w:val="46FF153C"/>
    <w:rsid w:val="471E399D"/>
    <w:rsid w:val="476A2E5A"/>
    <w:rsid w:val="47DB3D58"/>
    <w:rsid w:val="47DB5B06"/>
    <w:rsid w:val="47F97336"/>
    <w:rsid w:val="48B14AB8"/>
    <w:rsid w:val="48F43B85"/>
    <w:rsid w:val="492808FA"/>
    <w:rsid w:val="49584F34"/>
    <w:rsid w:val="496B231B"/>
    <w:rsid w:val="496B24D0"/>
    <w:rsid w:val="49DA3B9B"/>
    <w:rsid w:val="49FB423D"/>
    <w:rsid w:val="4A280DAA"/>
    <w:rsid w:val="4A376FF0"/>
    <w:rsid w:val="4A802994"/>
    <w:rsid w:val="4A9B5A20"/>
    <w:rsid w:val="4AA523FB"/>
    <w:rsid w:val="4B6D116B"/>
    <w:rsid w:val="4B8D35BB"/>
    <w:rsid w:val="4BDD19BC"/>
    <w:rsid w:val="4C3103EA"/>
    <w:rsid w:val="4C941618"/>
    <w:rsid w:val="4C9E7102"/>
    <w:rsid w:val="4CA21C4A"/>
    <w:rsid w:val="4CB16E35"/>
    <w:rsid w:val="4CB30CC7"/>
    <w:rsid w:val="4D585174"/>
    <w:rsid w:val="4D6C0FAE"/>
    <w:rsid w:val="4DA16EA9"/>
    <w:rsid w:val="4DA30634"/>
    <w:rsid w:val="4DA44BEC"/>
    <w:rsid w:val="4DBC1F35"/>
    <w:rsid w:val="4DFE60AA"/>
    <w:rsid w:val="4E231619"/>
    <w:rsid w:val="4E5B174E"/>
    <w:rsid w:val="4EB6274D"/>
    <w:rsid w:val="4F686126"/>
    <w:rsid w:val="4F7F146C"/>
    <w:rsid w:val="4F813436"/>
    <w:rsid w:val="50681F00"/>
    <w:rsid w:val="50744D49"/>
    <w:rsid w:val="507A1C34"/>
    <w:rsid w:val="50E158BB"/>
    <w:rsid w:val="517F1115"/>
    <w:rsid w:val="51B01DB1"/>
    <w:rsid w:val="51CB0999"/>
    <w:rsid w:val="51D80832"/>
    <w:rsid w:val="51DE06A9"/>
    <w:rsid w:val="51E63A25"/>
    <w:rsid w:val="51E82DAD"/>
    <w:rsid w:val="521265C8"/>
    <w:rsid w:val="523302EC"/>
    <w:rsid w:val="525832EA"/>
    <w:rsid w:val="52872F7B"/>
    <w:rsid w:val="533802B0"/>
    <w:rsid w:val="534529CD"/>
    <w:rsid w:val="539574B0"/>
    <w:rsid w:val="53B316E5"/>
    <w:rsid w:val="53BD07B5"/>
    <w:rsid w:val="545A4256"/>
    <w:rsid w:val="54A026CC"/>
    <w:rsid w:val="559A7000"/>
    <w:rsid w:val="559E6F23"/>
    <w:rsid w:val="55D3478A"/>
    <w:rsid w:val="55DF2C65"/>
    <w:rsid w:val="56026953"/>
    <w:rsid w:val="563C00B7"/>
    <w:rsid w:val="564A319E"/>
    <w:rsid w:val="564E7DEA"/>
    <w:rsid w:val="56625644"/>
    <w:rsid w:val="56755377"/>
    <w:rsid w:val="56A63783"/>
    <w:rsid w:val="56A9763A"/>
    <w:rsid w:val="56C24ED0"/>
    <w:rsid w:val="56C97471"/>
    <w:rsid w:val="57460AC2"/>
    <w:rsid w:val="57C57C38"/>
    <w:rsid w:val="583C5DBB"/>
    <w:rsid w:val="58676F42"/>
    <w:rsid w:val="587A49F5"/>
    <w:rsid w:val="5898534D"/>
    <w:rsid w:val="59A73A9A"/>
    <w:rsid w:val="59BC506B"/>
    <w:rsid w:val="5A0233C6"/>
    <w:rsid w:val="5A221372"/>
    <w:rsid w:val="5A272E2C"/>
    <w:rsid w:val="5A4B6B1B"/>
    <w:rsid w:val="5A5D23AA"/>
    <w:rsid w:val="5A7334E5"/>
    <w:rsid w:val="5A987886"/>
    <w:rsid w:val="5AD563E4"/>
    <w:rsid w:val="5AEB6BE6"/>
    <w:rsid w:val="5B036F0F"/>
    <w:rsid w:val="5B975D90"/>
    <w:rsid w:val="5BE32D83"/>
    <w:rsid w:val="5C4A2E02"/>
    <w:rsid w:val="5C6519EA"/>
    <w:rsid w:val="5C6C2D78"/>
    <w:rsid w:val="5C9B30E1"/>
    <w:rsid w:val="5CA72002"/>
    <w:rsid w:val="5CBD35D4"/>
    <w:rsid w:val="5D1E5727"/>
    <w:rsid w:val="5D1F603D"/>
    <w:rsid w:val="5D63417B"/>
    <w:rsid w:val="5D763693"/>
    <w:rsid w:val="5D83037A"/>
    <w:rsid w:val="5D8D2FA6"/>
    <w:rsid w:val="5D993378"/>
    <w:rsid w:val="5DEB0939"/>
    <w:rsid w:val="5E2356B9"/>
    <w:rsid w:val="5E253522"/>
    <w:rsid w:val="5E323B4E"/>
    <w:rsid w:val="5E512226"/>
    <w:rsid w:val="5E6463FD"/>
    <w:rsid w:val="5E901A2C"/>
    <w:rsid w:val="5EE4309A"/>
    <w:rsid w:val="5F585836"/>
    <w:rsid w:val="5F622211"/>
    <w:rsid w:val="5F9A7BFD"/>
    <w:rsid w:val="5FD21144"/>
    <w:rsid w:val="5FD749AD"/>
    <w:rsid w:val="5FDA624B"/>
    <w:rsid w:val="5FDC1FC3"/>
    <w:rsid w:val="60854409"/>
    <w:rsid w:val="608A7C71"/>
    <w:rsid w:val="60DA29A7"/>
    <w:rsid w:val="60F8107F"/>
    <w:rsid w:val="60FF41BB"/>
    <w:rsid w:val="61251748"/>
    <w:rsid w:val="615E3565"/>
    <w:rsid w:val="618943CD"/>
    <w:rsid w:val="61930DA7"/>
    <w:rsid w:val="61BE6BB0"/>
    <w:rsid w:val="61C251E9"/>
    <w:rsid w:val="61E82EA1"/>
    <w:rsid w:val="627604AD"/>
    <w:rsid w:val="629E2D3B"/>
    <w:rsid w:val="63475A0F"/>
    <w:rsid w:val="63732C3E"/>
    <w:rsid w:val="6383224F"/>
    <w:rsid w:val="638906B4"/>
    <w:rsid w:val="639C2195"/>
    <w:rsid w:val="63B75221"/>
    <w:rsid w:val="63DE3831"/>
    <w:rsid w:val="63FE69AC"/>
    <w:rsid w:val="64357EF4"/>
    <w:rsid w:val="64610CE9"/>
    <w:rsid w:val="64721148"/>
    <w:rsid w:val="64A80BED"/>
    <w:rsid w:val="64D41F14"/>
    <w:rsid w:val="64E02555"/>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1348C2"/>
    <w:rsid w:val="6E510020"/>
    <w:rsid w:val="6EBF142E"/>
    <w:rsid w:val="6EFF4B44"/>
    <w:rsid w:val="6F1277AF"/>
    <w:rsid w:val="6F743FC6"/>
    <w:rsid w:val="6F854425"/>
    <w:rsid w:val="6FA90B02"/>
    <w:rsid w:val="6FB62831"/>
    <w:rsid w:val="6FFC2607"/>
    <w:rsid w:val="701557A9"/>
    <w:rsid w:val="70231548"/>
    <w:rsid w:val="702C72CB"/>
    <w:rsid w:val="707F70C6"/>
    <w:rsid w:val="708741CD"/>
    <w:rsid w:val="70BC5EB3"/>
    <w:rsid w:val="711517D9"/>
    <w:rsid w:val="71162540"/>
    <w:rsid w:val="71186BD3"/>
    <w:rsid w:val="71285068"/>
    <w:rsid w:val="713351D6"/>
    <w:rsid w:val="718F6E95"/>
    <w:rsid w:val="71A62431"/>
    <w:rsid w:val="71C1726B"/>
    <w:rsid w:val="71FB2A38"/>
    <w:rsid w:val="721D0945"/>
    <w:rsid w:val="7285473C"/>
    <w:rsid w:val="729329B5"/>
    <w:rsid w:val="729B5D0E"/>
    <w:rsid w:val="72C708B1"/>
    <w:rsid w:val="72CE1C3F"/>
    <w:rsid w:val="72D70C0A"/>
    <w:rsid w:val="72F83160"/>
    <w:rsid w:val="7315161C"/>
    <w:rsid w:val="734F0FD2"/>
    <w:rsid w:val="735C724B"/>
    <w:rsid w:val="737F2F3A"/>
    <w:rsid w:val="74213FF1"/>
    <w:rsid w:val="74600FBD"/>
    <w:rsid w:val="746F1200"/>
    <w:rsid w:val="74A25132"/>
    <w:rsid w:val="750E21FF"/>
    <w:rsid w:val="75232716"/>
    <w:rsid w:val="754937FF"/>
    <w:rsid w:val="75575F1C"/>
    <w:rsid w:val="75A5137D"/>
    <w:rsid w:val="76164029"/>
    <w:rsid w:val="761738FD"/>
    <w:rsid w:val="762027B2"/>
    <w:rsid w:val="76224F90"/>
    <w:rsid w:val="76277FE4"/>
    <w:rsid w:val="764C7A4B"/>
    <w:rsid w:val="7697292D"/>
    <w:rsid w:val="76C65ABA"/>
    <w:rsid w:val="76EA2DC0"/>
    <w:rsid w:val="775F555C"/>
    <w:rsid w:val="77704B26"/>
    <w:rsid w:val="77972F48"/>
    <w:rsid w:val="77F60E8B"/>
    <w:rsid w:val="78770683"/>
    <w:rsid w:val="789B6A68"/>
    <w:rsid w:val="78DD2BDC"/>
    <w:rsid w:val="792E51E6"/>
    <w:rsid w:val="796A3FF7"/>
    <w:rsid w:val="797572B9"/>
    <w:rsid w:val="79B01770"/>
    <w:rsid w:val="79B55907"/>
    <w:rsid w:val="79CF0C59"/>
    <w:rsid w:val="79FC7092"/>
    <w:rsid w:val="7A9B2D4F"/>
    <w:rsid w:val="7ABD2CC5"/>
    <w:rsid w:val="7AF66FF7"/>
    <w:rsid w:val="7B047FA7"/>
    <w:rsid w:val="7B66335D"/>
    <w:rsid w:val="7BB8348D"/>
    <w:rsid w:val="7C4E0BDC"/>
    <w:rsid w:val="7C75137E"/>
    <w:rsid w:val="7C765821"/>
    <w:rsid w:val="7C96769F"/>
    <w:rsid w:val="7D0561C2"/>
    <w:rsid w:val="7D060228"/>
    <w:rsid w:val="7D8627C9"/>
    <w:rsid w:val="7DAE0FEB"/>
    <w:rsid w:val="7DC0487A"/>
    <w:rsid w:val="7E481261"/>
    <w:rsid w:val="7EB919F5"/>
    <w:rsid w:val="7EDC7492"/>
    <w:rsid w:val="7EE747B5"/>
    <w:rsid w:val="7F494A37"/>
    <w:rsid w:val="7F533BF8"/>
    <w:rsid w:val="7F635236"/>
    <w:rsid w:val="7F7B2064"/>
    <w:rsid w:val="7F8F6BFA"/>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2"/>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Body Text"/>
    <w:basedOn w:val="1"/>
    <w:next w:val="9"/>
    <w:link w:val="37"/>
    <w:qFormat/>
    <w:uiPriority w:val="1"/>
    <w:pPr>
      <w:spacing w:before="12"/>
      <w:ind w:left="100"/>
    </w:pPr>
    <w:rPr>
      <w:rFonts w:ascii="宋体" w:hAnsi="宋体" w:cs="宋体"/>
      <w:sz w:val="24"/>
      <w:szCs w:val="24"/>
      <w:lang w:val="zh-CN" w:bidi="zh-CN"/>
    </w:rPr>
  </w:style>
  <w:style w:type="paragraph" w:customStyle="1" w:styleId="9">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1">
    <w:name w:val="Body Text Indent"/>
    <w:basedOn w:val="1"/>
    <w:next w:val="12"/>
    <w:link w:val="38"/>
    <w:semiHidden/>
    <w:unhideWhenUsed/>
    <w:qFormat/>
    <w:uiPriority w:val="99"/>
    <w:pPr>
      <w:spacing w:after="120"/>
      <w:ind w:left="420" w:leftChars="200"/>
    </w:p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4">
    <w:name w:val="Date"/>
    <w:basedOn w:val="1"/>
    <w:next w:val="1"/>
    <w:qFormat/>
    <w:uiPriority w:val="0"/>
    <w:pPr>
      <w:ind w:left="2500" w:leftChars="2500"/>
    </w:pPr>
    <w:rPr>
      <w:rFonts w:hint="eastAsia" w:ascii="宋体" w:hAnsi="Courier New"/>
      <w:sz w:val="24"/>
      <w:szCs w:val="21"/>
    </w:rPr>
  </w:style>
  <w:style w:type="paragraph" w:styleId="15">
    <w:name w:val="Balloon Text"/>
    <w:basedOn w:val="1"/>
    <w:link w:val="29"/>
    <w:semiHidden/>
    <w:qFormat/>
    <w:uiPriority w:val="99"/>
    <w:rPr>
      <w:sz w:val="18"/>
      <w:szCs w:val="18"/>
    </w:rPr>
  </w:style>
  <w:style w:type="paragraph" w:styleId="16">
    <w:name w:val="footer"/>
    <w:basedOn w:val="1"/>
    <w:link w:val="28"/>
    <w:qFormat/>
    <w:uiPriority w:val="99"/>
    <w:pPr>
      <w:tabs>
        <w:tab w:val="center" w:pos="4153"/>
        <w:tab w:val="right" w:pos="8306"/>
      </w:tabs>
      <w:snapToGrid w:val="0"/>
      <w:jc w:val="left"/>
    </w:pPr>
    <w:rPr>
      <w:sz w:val="18"/>
      <w:szCs w:val="18"/>
    </w:rPr>
  </w:style>
  <w:style w:type="paragraph" w:styleId="17">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9">
    <w:name w:val="List"/>
    <w:basedOn w:val="1"/>
    <w:qFormat/>
    <w:uiPriority w:val="0"/>
    <w:pPr>
      <w:ind w:left="420" w:hanging="420"/>
    </w:pPr>
    <w:rPr>
      <w:sz w:val="28"/>
      <w:szCs w:val="20"/>
    </w:rPr>
  </w:style>
  <w:style w:type="paragraph" w:styleId="20">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1">
    <w:name w:val="Body Text First Indent"/>
    <w:basedOn w:val="8"/>
    <w:next w:val="1"/>
    <w:qFormat/>
    <w:uiPriority w:val="99"/>
    <w:pPr>
      <w:tabs>
        <w:tab w:val="left" w:pos="567"/>
      </w:tabs>
    </w:pPr>
    <w:rPr>
      <w:kern w:val="0"/>
    </w:rPr>
  </w:style>
  <w:style w:type="paragraph" w:styleId="22">
    <w:name w:val="Body Text First Indent 2"/>
    <w:basedOn w:val="11"/>
    <w:next w:val="1"/>
    <w:link w:val="39"/>
    <w:semiHidden/>
    <w:unhideWhenUsed/>
    <w:qFormat/>
    <w:uiPriority w:val="99"/>
    <w:pPr>
      <w:ind w:firstLine="420" w:firstLineChars="200"/>
    </w:pPr>
  </w:style>
  <w:style w:type="table" w:styleId="24">
    <w:name w:val="Table Grid"/>
    <w:basedOn w:val="23"/>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Hyperlink"/>
    <w:qFormat/>
    <w:uiPriority w:val="99"/>
    <w:rPr>
      <w:rFonts w:cs="Times New Roman"/>
      <w:color w:val="0000FF"/>
      <w:u w:val="single"/>
    </w:rPr>
  </w:style>
  <w:style w:type="character" w:customStyle="1" w:styleId="27">
    <w:name w:val="页眉 字符"/>
    <w:link w:val="17"/>
    <w:qFormat/>
    <w:locked/>
    <w:uiPriority w:val="99"/>
    <w:rPr>
      <w:rFonts w:cs="Times New Roman"/>
      <w:sz w:val="18"/>
      <w:szCs w:val="18"/>
    </w:rPr>
  </w:style>
  <w:style w:type="character" w:customStyle="1" w:styleId="28">
    <w:name w:val="页脚 字符"/>
    <w:link w:val="16"/>
    <w:qFormat/>
    <w:locked/>
    <w:uiPriority w:val="99"/>
    <w:rPr>
      <w:rFonts w:cs="Times New Roman"/>
      <w:sz w:val="18"/>
      <w:szCs w:val="18"/>
    </w:rPr>
  </w:style>
  <w:style w:type="character" w:customStyle="1" w:styleId="29">
    <w:name w:val="批注框文本 字符"/>
    <w:link w:val="15"/>
    <w:semiHidden/>
    <w:qFormat/>
    <w:locked/>
    <w:uiPriority w:val="99"/>
    <w:rPr>
      <w:rFonts w:cs="Times New Roman"/>
      <w:sz w:val="18"/>
      <w:szCs w:val="18"/>
    </w:rPr>
  </w:style>
  <w:style w:type="character" w:customStyle="1" w:styleId="30">
    <w:name w:val="标题 2 字符"/>
    <w:link w:val="3"/>
    <w:qFormat/>
    <w:uiPriority w:val="0"/>
    <w:rPr>
      <w:rFonts w:ascii="Cambria" w:hAnsi="Cambria"/>
      <w:b/>
      <w:color w:val="000000"/>
      <w:sz w:val="32"/>
      <w:szCs w:val="32"/>
    </w:rPr>
  </w:style>
  <w:style w:type="paragraph" w:styleId="31">
    <w:name w:val="List Paragraph"/>
    <w:basedOn w:val="1"/>
    <w:qFormat/>
    <w:uiPriority w:val="99"/>
    <w:pPr>
      <w:ind w:firstLine="420"/>
    </w:pPr>
    <w:rPr>
      <w:color w:val="000000"/>
      <w:kern w:val="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字符"/>
    <w:basedOn w:val="25"/>
    <w:link w:val="32"/>
    <w:qFormat/>
    <w:uiPriority w:val="1"/>
    <w:rPr>
      <w:rFonts w:asciiTheme="minorHAnsi" w:hAnsiTheme="minorHAnsi" w:eastAsiaTheme="minorEastAsia" w:cstheme="minorBidi"/>
      <w:sz w:val="22"/>
      <w:szCs w:val="22"/>
    </w:rPr>
  </w:style>
  <w:style w:type="character" w:customStyle="1" w:styleId="34">
    <w:name w:val="apple-style-span"/>
    <w:basedOn w:val="25"/>
    <w:qFormat/>
    <w:uiPriority w:val="0"/>
    <w:rPr>
      <w:rFonts w:hint="default" w:ascii="Times New Roman"/>
    </w:rPr>
  </w:style>
  <w:style w:type="character" w:customStyle="1" w:styleId="35">
    <w:name w:val="列出段落 Char Char"/>
    <w:link w:val="36"/>
    <w:qFormat/>
    <w:uiPriority w:val="0"/>
    <w:rPr>
      <w:sz w:val="28"/>
    </w:rPr>
  </w:style>
  <w:style w:type="paragraph" w:customStyle="1" w:styleId="36">
    <w:name w:val="列出段落1"/>
    <w:basedOn w:val="1"/>
    <w:link w:val="35"/>
    <w:qFormat/>
    <w:uiPriority w:val="0"/>
    <w:pPr>
      <w:widowControl/>
      <w:ind w:firstLine="420" w:firstLineChars="200"/>
      <w:jc w:val="left"/>
    </w:pPr>
    <w:rPr>
      <w:kern w:val="0"/>
      <w:sz w:val="28"/>
      <w:szCs w:val="20"/>
    </w:rPr>
  </w:style>
  <w:style w:type="character" w:customStyle="1" w:styleId="37">
    <w:name w:val="正文文本 字符"/>
    <w:basedOn w:val="25"/>
    <w:link w:val="8"/>
    <w:qFormat/>
    <w:uiPriority w:val="1"/>
    <w:rPr>
      <w:rFonts w:ascii="宋体" w:hAnsi="宋体" w:cs="宋体"/>
      <w:kern w:val="2"/>
      <w:sz w:val="24"/>
      <w:szCs w:val="24"/>
      <w:lang w:val="zh-CN" w:bidi="zh-CN"/>
    </w:rPr>
  </w:style>
  <w:style w:type="character" w:customStyle="1" w:styleId="38">
    <w:name w:val="正文文本缩进 字符"/>
    <w:basedOn w:val="25"/>
    <w:link w:val="11"/>
    <w:semiHidden/>
    <w:qFormat/>
    <w:uiPriority w:val="99"/>
    <w:rPr>
      <w:kern w:val="2"/>
      <w:sz w:val="21"/>
      <w:szCs w:val="22"/>
    </w:rPr>
  </w:style>
  <w:style w:type="character" w:customStyle="1" w:styleId="39">
    <w:name w:val="正文文本首行缩进 2 字符"/>
    <w:basedOn w:val="38"/>
    <w:link w:val="22"/>
    <w:semiHidden/>
    <w:qFormat/>
    <w:uiPriority w:val="99"/>
    <w:rPr>
      <w:kern w:val="2"/>
      <w:sz w:val="21"/>
      <w:szCs w:val="22"/>
    </w:rPr>
  </w:style>
  <w:style w:type="paragraph" w:customStyle="1" w:styleId="40">
    <w:name w:val="修订1"/>
    <w:hidden/>
    <w:unhideWhenUsed/>
    <w:qFormat/>
    <w:uiPriority w:val="99"/>
    <w:rPr>
      <w:rFonts w:ascii="Calibri" w:hAnsi="Calibri" w:eastAsia="宋体" w:cs="Times New Roman"/>
      <w:kern w:val="2"/>
      <w:sz w:val="21"/>
      <w:szCs w:val="22"/>
      <w:lang w:val="en-US" w:eastAsia="zh-CN" w:bidi="ar-SA"/>
    </w:rPr>
  </w:style>
  <w:style w:type="table" w:customStyle="1" w:styleId="41">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标题 3 字符"/>
    <w:basedOn w:val="25"/>
    <w:link w:val="4"/>
    <w:qFormat/>
    <w:uiPriority w:val="0"/>
    <w:rPr>
      <w:rFonts w:ascii="Times New Roman" w:hAnsi="Times New Roman"/>
      <w:b/>
      <w:bCs/>
      <w:kern w:val="2"/>
      <w:sz w:val="32"/>
      <w:szCs w:val="32"/>
    </w:rPr>
  </w:style>
  <w:style w:type="character" w:customStyle="1" w:styleId="43">
    <w:name w:val="标题 1 字符"/>
    <w:basedOn w:val="25"/>
    <w:link w:val="2"/>
    <w:qFormat/>
    <w:uiPriority w:val="0"/>
    <w:rPr>
      <w:b/>
      <w:bCs/>
      <w:kern w:val="44"/>
      <w:sz w:val="44"/>
      <w:szCs w:val="44"/>
    </w:rPr>
  </w:style>
  <w:style w:type="paragraph" w:customStyle="1" w:styleId="4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6">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8">
    <w:name w:val="Table Text"/>
    <w:basedOn w:val="1"/>
    <w:semiHidden/>
    <w:qFormat/>
    <w:uiPriority w:val="0"/>
    <w:rPr>
      <w:rFonts w:ascii="宋体" w:hAnsi="宋体" w:eastAsia="宋体" w:cs="宋体"/>
      <w:sz w:val="19"/>
      <w:szCs w:val="19"/>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Table Paragraph"/>
    <w:basedOn w:val="1"/>
    <w:qFormat/>
    <w:uiPriority w:val="1"/>
  </w:style>
  <w:style w:type="paragraph" w:customStyle="1" w:styleId="51">
    <w:name w:val="样式1"/>
    <w:basedOn w:val="1"/>
    <w:next w:val="5"/>
    <w:qFormat/>
    <w:uiPriority w:val="0"/>
    <w:rPr>
      <w:rFonts w:ascii="宋体" w:hAnsi="Arial Unicode MS"/>
      <w:color w:val="000000"/>
      <w:kern w:val="0"/>
      <w:sz w:val="24"/>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10969</Words>
  <Characters>11322</Characters>
  <Lines>381</Lines>
  <Paragraphs>509</Paragraphs>
  <TotalTime>38</TotalTime>
  <ScaleCrop>false</ScaleCrop>
  <LinksUpToDate>false</LinksUpToDate>
  <CharactersWithSpaces>12696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现实再美，也美不过虚伪</cp:lastModifiedBy>
  <cp:lastPrinted>2024-02-29T05:21:00Z</cp:lastPrinted>
  <dcterms:modified xsi:type="dcterms:W3CDTF">2025-06-12T07:12:42Z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A739B9BD27DB4DFA815C0C1D1CB8B041_13</vt:lpwstr>
  </property>
  <property fmtid="{D5CDD505-2E9C-101B-9397-08002B2CF9AE}" pid="4" name="KSOTemplateDocerSaveRecord">
    <vt:lpwstr>eyJoZGlkIjoiMTEzNWNhMWRmZjM0MDI4NGFhZTk0NjU4NzQ4YzI0Y2MiLCJ1c2VySWQiOiIyMzc4MjUwMDEifQ==</vt:lpwstr>
  </property>
</Properties>
</file>