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7FFB">
      <w:pPr>
        <w:numPr>
          <w:ilvl w:val="0"/>
          <w:numId w:val="0"/>
        </w:numPr>
        <w:jc w:val="center"/>
        <w:rPr>
          <w:rFonts w:hint="default"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阜阳市肿瘤医院河滨路院区</w:t>
      </w:r>
      <w:r>
        <w:rPr>
          <w:rFonts w:hint="eastAsia" w:ascii="宋体" w:hAnsi="宋体" w:eastAsia="宋体" w:cs="宋体"/>
          <w:b/>
          <w:bCs/>
          <w:color w:val="000000"/>
          <w:sz w:val="30"/>
          <w:szCs w:val="30"/>
        </w:rPr>
        <w:t>污水处理</w:t>
      </w:r>
      <w:r>
        <w:rPr>
          <w:rFonts w:hint="eastAsia" w:ascii="宋体" w:hAnsi="宋体" w:eastAsia="宋体" w:cs="宋体"/>
          <w:b/>
          <w:bCs/>
          <w:color w:val="000000"/>
          <w:sz w:val="30"/>
          <w:szCs w:val="30"/>
          <w:lang w:val="en-US" w:eastAsia="zh-CN"/>
        </w:rPr>
        <w:t>自主运行征询方案及造价</w:t>
      </w:r>
    </w:p>
    <w:p w14:paraId="4146F0A3">
      <w:pPr>
        <w:numPr>
          <w:ilvl w:val="0"/>
          <w:numId w:val="0"/>
        </w:numPr>
        <w:rPr>
          <w:rFonts w:hint="eastAsia" w:ascii="宋体" w:hAnsi="宋体" w:eastAsia="宋体" w:cs="宋体"/>
          <w:b w:val="0"/>
          <w:bCs w:val="0"/>
          <w:color w:val="000000"/>
          <w:sz w:val="20"/>
          <w:szCs w:val="20"/>
        </w:rPr>
      </w:pPr>
      <w:r>
        <w:rPr>
          <w:rFonts w:hint="eastAsia" w:ascii="宋体" w:hAnsi="宋体" w:eastAsia="宋体" w:cs="宋体"/>
          <w:b/>
          <w:bCs/>
          <w:color w:val="000000"/>
          <w:sz w:val="28"/>
          <w:szCs w:val="28"/>
          <w:lang w:val="en-US" w:eastAsia="zh-CN"/>
        </w:rPr>
        <w:t>一</w:t>
      </w:r>
      <w:r>
        <w:rPr>
          <w:rFonts w:hint="eastAsia" w:ascii="宋体" w:hAnsi="宋体" w:eastAsia="宋体" w:cs="宋体"/>
          <w:b/>
          <w:bCs/>
          <w:color w:val="000000"/>
          <w:sz w:val="28"/>
          <w:szCs w:val="28"/>
        </w:rPr>
        <w:t>、项目概况</w:t>
      </w:r>
    </w:p>
    <w:p w14:paraId="09B9BAE6">
      <w:pPr>
        <w:numPr>
          <w:ilvl w:val="0"/>
          <w:numId w:val="0"/>
        </w:numPr>
        <w:ind w:left="0" w:leftChars="0" w:firstLine="638" w:firstLineChars="228"/>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采购需求：我阜阳市肿瘤医院河滨路院区污水处理站采用调节池+水解酸化+接触氧化池+消毒工艺，具体为：来自院内生活污水及生产 废水首先污水通过化粪池进入格栅，通过格栅拦截较大杂质；然后由污水泵提升进入调节池，多级A/0生物池，去除BOD5、N、P等污染物；多级 A/0 生物池出水经沉淀池沉淀分离，去除悬浮物；沉淀池出水至消毒池进一步去除SS、BOD。生物处理产生的剩余污泥，通过剩余污泥泵提 升至浓缩脱水机房内的脱水机内进行浓缩脱水，脱水后泥饼外运，本污水处理池设计日处理水量最高为1000吨/天。有电控系统、污泥压滤、风机房、水质在线监测站房等附属设施。现开放床位数67张，预计2027年3月份后开放床位数367（含养老床位</w:t>
      </w:r>
      <w:bookmarkStart w:id="0" w:name="_GoBack"/>
      <w:r>
        <w:rPr>
          <w:rFonts w:hint="eastAsia" w:ascii="宋体" w:hAnsi="宋体" w:eastAsia="宋体" w:cs="宋体"/>
          <w:b w:val="0"/>
          <w:bCs w:val="0"/>
          <w:color w:val="000000"/>
          <w:sz w:val="28"/>
          <w:szCs w:val="28"/>
          <w:lang w:val="en-US" w:eastAsia="zh-CN"/>
        </w:rPr>
        <w:t>300</w:t>
      </w:r>
      <w:bookmarkEnd w:id="0"/>
      <w:r>
        <w:rPr>
          <w:rFonts w:hint="eastAsia" w:ascii="宋体" w:hAnsi="宋体" w:eastAsia="宋体" w:cs="宋体"/>
          <w:b w:val="0"/>
          <w:bCs w:val="0"/>
          <w:color w:val="000000"/>
          <w:sz w:val="28"/>
          <w:szCs w:val="28"/>
          <w:lang w:val="en-US" w:eastAsia="zh-CN"/>
        </w:rPr>
        <w:t>张）；</w:t>
      </w:r>
    </w:p>
    <w:p w14:paraId="670C1FC3">
      <w:pPr>
        <w:numPr>
          <w:ilvl w:val="0"/>
          <w:numId w:val="1"/>
        </w:num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服务需求</w:t>
      </w:r>
    </w:p>
    <w:p w14:paraId="7FC00005">
      <w:pPr>
        <w:numPr>
          <w:numId w:val="0"/>
        </w:numPr>
        <w:rPr>
          <w:rFonts w:hint="eastAsia" w:ascii="宋体" w:hAnsi="宋体" w:eastAsia="宋体" w:cs="宋体"/>
          <w:b w:val="0"/>
          <w:bCs w:val="0"/>
          <w:color w:val="000000"/>
          <w:sz w:val="28"/>
          <w:szCs w:val="28"/>
        </w:rPr>
      </w:pPr>
      <w:r>
        <w:rPr>
          <w:rFonts w:hint="eastAsia" w:ascii="宋体" w:hAnsi="宋体" w:eastAsia="宋体" w:cs="宋体"/>
          <w:b/>
          <w:bCs/>
          <w:color w:val="000000"/>
          <w:sz w:val="28"/>
          <w:szCs w:val="28"/>
        </w:rPr>
        <w:t xml:space="preserve"> </w:t>
      </w:r>
      <w:r>
        <w:rPr>
          <w:rFonts w:hint="eastAsia" w:ascii="宋体" w:hAnsi="宋体" w:eastAsia="宋体" w:cs="宋体"/>
          <w:b w:val="0"/>
          <w:bCs w:val="0"/>
          <w:color w:val="000000"/>
          <w:sz w:val="28"/>
          <w:szCs w:val="28"/>
        </w:rPr>
        <w:t>(一)服务范围 1、污水站运营维护：负责污水站的所有设备设施日常运行、管理、维护、维修、检测和</w:t>
      </w:r>
      <w:r>
        <w:rPr>
          <w:rFonts w:hint="eastAsia" w:ascii="宋体" w:hAnsi="宋体" w:eastAsia="宋体" w:cs="宋体"/>
          <w:b w:val="0"/>
          <w:bCs w:val="0"/>
          <w:color w:val="000000"/>
          <w:sz w:val="28"/>
          <w:szCs w:val="28"/>
          <w:lang w:val="en-US" w:eastAsia="zh-CN"/>
        </w:rPr>
        <w:t>指导</w:t>
      </w:r>
      <w:r>
        <w:rPr>
          <w:rFonts w:hint="eastAsia" w:ascii="宋体" w:hAnsi="宋体" w:eastAsia="宋体" w:cs="宋体"/>
          <w:b w:val="0"/>
          <w:bCs w:val="0"/>
          <w:color w:val="000000"/>
          <w:sz w:val="28"/>
          <w:szCs w:val="28"/>
        </w:rPr>
        <w:t>记录等工作，实时监测污水处理系统的运行状况，以确保污水处理站的正常运行，废水、废气排放符 合《医疗机构水污染物排放标准》(GB18466-2005)、《恶臭污染物排放标准》(GB14554-1993)中 相应排放标准和排污许可证要求。</w:t>
      </w:r>
    </w:p>
    <w:p w14:paraId="38751A4D">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2、水质在线监测系统运行维护管理：并配合量值溯源和在线运维人员的工作，符合环保部门 要求的在线监测设备运维规定。 </w:t>
      </w:r>
    </w:p>
    <w:p w14:paraId="710CED44">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3、排污许可证的管理及监测填报：依据《医疗机构排污许可证申请与核发技术规范》 HJ1105-2020 和《排污许可证管理暂行规定》中规范要求，对我院污水站的总排口废水、污水处 理站的有组织废气、无组织废气、污水处理站周界噪声进行手工检测，并依据手工检测结果进行 网上实时填报发布，并按照“安徽省排污单位自行监测信息发布平台”的要求以及“全国排污许 可证管理信息平台”制定自行监测方案、自行监测报告、平台数据维护等工作，同步和环保主管 部门做好所有数据的对接工作。所有涉及手工检测项须由具备CMA资质的第三方检测机构出具检测 报告。 </w:t>
      </w:r>
    </w:p>
    <w:p w14:paraId="669E43FA">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4、污水站危废处置：污水站产生的污泥、使用后的活性炭和废弃填料等及在线监测设备产生 的废液等一切污水处理站运行产生的危险废物的管理、储存、工作，并符合《医疗机构水污染物 排放标准(GB18466-2005)》 中的污泥控制与管理要求。按规定登记及管理并协助医院委托有资质 单位进行处置。 </w:t>
      </w:r>
    </w:p>
    <w:p w14:paraId="2E78D2F7">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5、药剂采购：污水处理系统所需药剂含在线设备所需药剂、污水消毒药剂等保证污水站正常运行的所有试剂。</w:t>
      </w:r>
    </w:p>
    <w:p w14:paraId="64E2C377">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6、自行检测：负责定期对污水处理站的出水进行取样检测分析，按照排污许可要求提供具有 资质的第三方出具的合格检测报告并填报相关台账资料； </w:t>
      </w:r>
    </w:p>
    <w:p w14:paraId="149A49BD">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7、完成运行数据分析，建立运行技术档案，为医院后期水处理资料分析及改进提供数据支持 。 </w:t>
      </w:r>
    </w:p>
    <w:p w14:paraId="79CAD0F0">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8、负责定期对承包范围内污水处理站各种闸阀、护栏、爬梯、管道、曝气系统，泵、消毒设备，格栅、池体等各类设备设施进行检查维修(包括更换)及防腐处理，并及时更换损坏零件。 </w:t>
      </w:r>
    </w:p>
    <w:p w14:paraId="55AB2EC5">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9、负责检测、送检工作，按照排污许可证和主管部门(如环保主管部门和归口主管部门等)的 要求对污染物浓度进行检测和分析，并提供第三方有资质的单位出具的检测报告。</w:t>
      </w:r>
    </w:p>
    <w:p w14:paraId="0B5F9892">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10、负责</w:t>
      </w:r>
      <w:r>
        <w:rPr>
          <w:rFonts w:hint="eastAsia" w:ascii="宋体" w:hAnsi="宋体" w:eastAsia="宋体" w:cs="宋体"/>
          <w:b w:val="0"/>
          <w:bCs w:val="0"/>
          <w:color w:val="000000"/>
          <w:sz w:val="28"/>
          <w:szCs w:val="28"/>
          <w:lang w:val="en-US" w:eastAsia="zh-CN"/>
        </w:rPr>
        <w:t>指导</w:t>
      </w:r>
      <w:r>
        <w:rPr>
          <w:rFonts w:hint="eastAsia" w:ascii="宋体" w:hAnsi="宋体" w:eastAsia="宋体" w:cs="宋体"/>
          <w:b w:val="0"/>
          <w:bCs w:val="0"/>
          <w:color w:val="000000"/>
          <w:sz w:val="28"/>
          <w:szCs w:val="28"/>
        </w:rPr>
        <w:t>编制各项安全、操作、工作、人员职责等制度，</w:t>
      </w:r>
      <w:r>
        <w:rPr>
          <w:rFonts w:hint="eastAsia" w:ascii="宋体" w:hAnsi="宋体" w:eastAsia="宋体" w:cs="宋体"/>
          <w:b w:val="0"/>
          <w:bCs w:val="0"/>
          <w:color w:val="000000"/>
          <w:sz w:val="28"/>
          <w:szCs w:val="28"/>
          <w:lang w:val="en-US" w:eastAsia="zh-CN"/>
        </w:rPr>
        <w:t>由医院负责</w:t>
      </w:r>
      <w:r>
        <w:rPr>
          <w:rFonts w:hint="eastAsia" w:ascii="宋体" w:hAnsi="宋体" w:eastAsia="宋体" w:cs="宋体"/>
          <w:b w:val="0"/>
          <w:bCs w:val="0"/>
          <w:color w:val="000000"/>
          <w:sz w:val="28"/>
          <w:szCs w:val="28"/>
        </w:rPr>
        <w:t xml:space="preserve">并制作相应标识标牌，同时保障各项制度落实。 </w:t>
      </w:r>
    </w:p>
    <w:p w14:paraId="677D2BFB">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11、</w:t>
      </w:r>
      <w:r>
        <w:rPr>
          <w:rFonts w:hint="eastAsia" w:ascii="宋体" w:hAnsi="宋体" w:eastAsia="宋体" w:cs="宋体"/>
          <w:b w:val="0"/>
          <w:bCs w:val="0"/>
          <w:color w:val="000000"/>
          <w:sz w:val="28"/>
          <w:szCs w:val="28"/>
          <w:lang w:val="en-US" w:eastAsia="zh-CN"/>
        </w:rPr>
        <w:t>指导院方人员</w:t>
      </w:r>
      <w:r>
        <w:rPr>
          <w:rFonts w:hint="eastAsia" w:ascii="宋体" w:hAnsi="宋体" w:eastAsia="宋体" w:cs="宋体"/>
          <w:b w:val="0"/>
          <w:bCs w:val="0"/>
          <w:color w:val="000000"/>
          <w:sz w:val="28"/>
          <w:szCs w:val="28"/>
        </w:rPr>
        <w:t>负责维护污水站内，池体、设备设施等的外观整洁、环境卫生。</w:t>
      </w:r>
    </w:p>
    <w:p w14:paraId="4A76799E">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12、负责与上级环保主管部门的业务联系，同时配合环保部门检查做好迎检和接待工作；并及时按环保部门要求进行整改，直至达到环保相关标准规范。 </w:t>
      </w:r>
    </w:p>
    <w:p w14:paraId="716888BE">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13、负责配合医院各项迎检工作，做好相关资料整理、制作和收集，符合各项检查的标准和 要求(如医院复审、文明城市创建、安全生产等各项检查)。 </w:t>
      </w:r>
    </w:p>
    <w:p w14:paraId="131C7626">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14、负责</w:t>
      </w:r>
      <w:r>
        <w:rPr>
          <w:rFonts w:hint="eastAsia" w:ascii="宋体" w:hAnsi="宋体" w:eastAsia="宋体" w:cs="宋体"/>
          <w:b w:val="0"/>
          <w:bCs w:val="0"/>
          <w:color w:val="000000"/>
          <w:sz w:val="28"/>
          <w:szCs w:val="28"/>
          <w:lang w:val="en-US" w:eastAsia="zh-CN"/>
        </w:rPr>
        <w:t>指导医院</w:t>
      </w:r>
      <w:r>
        <w:rPr>
          <w:rFonts w:hint="eastAsia" w:ascii="宋体" w:hAnsi="宋体" w:eastAsia="宋体" w:cs="宋体"/>
          <w:b w:val="0"/>
          <w:bCs w:val="0"/>
          <w:color w:val="000000"/>
          <w:sz w:val="28"/>
          <w:szCs w:val="28"/>
        </w:rPr>
        <w:t>的操作人员，必须驻场负责污水处理站工作，并向采购人汇报污水处理站运营情况，每月提供月度运营情况等书面材料。 15、负责污水站检修、维修的人员(队伍)调度安排，在设备发生故障，接收到故障通知后10 分钟内驻点运维服务进行应急处置，两小时内检修、维修的人员到达现场，四小时内检修解除故障。在确实没有维修条件的情况下应及时汇报，并采取有效的应急措施，防止出现环境和安全事 故，经采购人同意后须在24小时内完成修复。</w:t>
      </w:r>
    </w:p>
    <w:p w14:paraId="4DDE4DE2">
      <w:pPr>
        <w:numPr>
          <w:ilvl w:val="0"/>
          <w:numId w:val="0"/>
        </w:numPr>
        <w:rPr>
          <w:rFonts w:hint="eastAsia" w:ascii="宋体" w:hAnsi="宋体" w:eastAsia="宋体" w:cs="宋体"/>
          <w:b/>
          <w:bCs/>
          <w:color w:val="0000FF"/>
          <w:sz w:val="28"/>
          <w:szCs w:val="28"/>
        </w:rPr>
      </w:pPr>
      <w:r>
        <w:rPr>
          <w:rFonts w:hint="eastAsia" w:ascii="宋体" w:hAnsi="宋体" w:eastAsia="宋体" w:cs="宋体"/>
          <w:b/>
          <w:bCs/>
          <w:color w:val="0000FF"/>
          <w:sz w:val="28"/>
          <w:szCs w:val="28"/>
        </w:rPr>
        <w:t xml:space="preserve"> 16、项目至少配备项目负责人1人（</w:t>
      </w:r>
      <w:r>
        <w:rPr>
          <w:rFonts w:hint="eastAsia" w:ascii="宋体" w:hAnsi="宋体" w:eastAsia="宋体" w:cs="宋体"/>
          <w:b/>
          <w:bCs/>
          <w:color w:val="0000FF"/>
          <w:sz w:val="28"/>
          <w:szCs w:val="28"/>
          <w:lang w:val="en-US" w:eastAsia="zh-CN"/>
        </w:rPr>
        <w:t>不需要24小时常驻</w:t>
      </w:r>
      <w:r>
        <w:rPr>
          <w:rFonts w:hint="eastAsia" w:ascii="宋体" w:hAnsi="宋体" w:eastAsia="宋体" w:cs="宋体"/>
          <w:b/>
          <w:bCs/>
          <w:color w:val="0000FF"/>
          <w:sz w:val="28"/>
          <w:szCs w:val="28"/>
        </w:rPr>
        <w:t>），</w:t>
      </w:r>
      <w:r>
        <w:rPr>
          <w:rFonts w:hint="eastAsia" w:ascii="宋体" w:hAnsi="宋体" w:eastAsia="宋体" w:cs="宋体"/>
          <w:b/>
          <w:bCs/>
          <w:color w:val="0000FF"/>
          <w:sz w:val="28"/>
          <w:szCs w:val="28"/>
          <w:lang w:val="en-US" w:eastAsia="zh-CN"/>
        </w:rPr>
        <w:t>指导医院值班人员相关工作，</w:t>
      </w:r>
      <w:r>
        <w:rPr>
          <w:rFonts w:hint="eastAsia" w:ascii="宋体" w:hAnsi="宋体" w:eastAsia="宋体" w:cs="宋体"/>
          <w:b/>
          <w:bCs/>
          <w:color w:val="0000FF"/>
          <w:sz w:val="28"/>
          <w:szCs w:val="28"/>
        </w:rPr>
        <w:t>以保证污水处 理日常工作安全运行。服从医院日常工作安排，设备维修及日常维护、水质监测、检测、演练等 。供应商负责安排拟派人员的住宿和生活，采购人提供污水处理站操作间给供应商拟派人员日常办公。</w:t>
      </w:r>
    </w:p>
    <w:p w14:paraId="16ADB5A1">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17、运营期间，设备日常保养和维修中，单一零备件价格或单一材料价格在2000元或2000元 以下的由供应商负责。关键部件损坏超过2000元或需要大修、设备正常报废的由采购人负责。</w:t>
      </w:r>
    </w:p>
    <w:p w14:paraId="3223BB9A">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18、供应商需在采购人管理及要求下规范完成托管服务，在托管期间确保本次采购的所有内 容均应符合主管部门规范要求，供应商在后期运营服务中未达到主管部门考核及采购人考核要求 ，造成一切后果由供应商全部承担并对采购人做出赔偿，采购人有权单方面终止托管运营服务合 同。 </w:t>
      </w:r>
    </w:p>
    <w:p w14:paraId="03A2103F">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19、供应商在合同履行过程中，如遇省市环保部门对排污水质等要求有相应政策调整，供应 商应根据最新要求执行，且不增加任何费用，按照原合同价执行。</w:t>
      </w:r>
    </w:p>
    <w:p w14:paraId="4BA27EA5">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(二)设备运维要求 1、供应商保持污水处理设备、设施24小时正常运转，系统运行过程中由</w:t>
      </w:r>
      <w:r>
        <w:rPr>
          <w:rFonts w:hint="eastAsia" w:ascii="宋体" w:hAnsi="宋体" w:eastAsia="宋体" w:cs="宋体"/>
          <w:b w:val="0"/>
          <w:bCs w:val="0"/>
          <w:color w:val="000000"/>
          <w:sz w:val="28"/>
          <w:szCs w:val="28"/>
          <w:lang w:val="en-US" w:eastAsia="zh-CN"/>
        </w:rPr>
        <w:t>医院</w:t>
      </w:r>
      <w:r>
        <w:rPr>
          <w:rFonts w:hint="eastAsia" w:ascii="宋体" w:hAnsi="宋体" w:eastAsia="宋体" w:cs="宋体"/>
          <w:b w:val="0"/>
          <w:bCs w:val="0"/>
          <w:color w:val="000000"/>
          <w:sz w:val="28"/>
          <w:szCs w:val="28"/>
        </w:rPr>
        <w:t xml:space="preserve">专人看管，保证水质 排放符合《医疗机构污水排放标准》的预处理标准(如有最新规定的，按最新规定执行)；服务期 内因出水水质不达标或造成其他污染而导致采购人被行业主管部门通报或处罚的，罚金等所有费 用由供应商承担，采购人有权单方解除合同并要求供应商承担相关法律责任； </w:t>
      </w:r>
    </w:p>
    <w:p w14:paraId="1A61F1DB">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2、污水处理系统运行期间要督促</w:t>
      </w:r>
      <w:r>
        <w:rPr>
          <w:rFonts w:hint="eastAsia" w:ascii="宋体" w:hAnsi="宋体" w:eastAsia="宋体" w:cs="宋体"/>
          <w:b w:val="0"/>
          <w:bCs w:val="0"/>
          <w:color w:val="000000"/>
          <w:sz w:val="28"/>
          <w:szCs w:val="28"/>
          <w:lang w:val="en-US" w:eastAsia="zh-CN"/>
        </w:rPr>
        <w:t>医院委派的</w:t>
      </w:r>
      <w:r>
        <w:rPr>
          <w:rFonts w:hint="eastAsia" w:ascii="宋体" w:hAnsi="宋体" w:eastAsia="宋体" w:cs="宋体"/>
          <w:b w:val="0"/>
          <w:bCs w:val="0"/>
          <w:color w:val="000000"/>
          <w:sz w:val="28"/>
          <w:szCs w:val="28"/>
        </w:rPr>
        <w:t xml:space="preserve">操作人员(至少2人)认真巡回检查，并做好记录；发现异常 情况及时上报采购人，并妥善处理跟踪处理结果及其对污水处理系统带来的影响； </w:t>
      </w:r>
    </w:p>
    <w:p w14:paraId="673D3E47">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3、供应商建立运行管理制度、设备操作规范及危险药品污水处理站托管运营服务管理制度等相关制度并统一定制上墙。定期派维护保养人员对污水站运行设备进行维护保养，保存设备维护 保养记录，形成设备维护记录档案。 </w:t>
      </w:r>
    </w:p>
    <w:p w14:paraId="5378536D">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4、每年至少进行一次现场应急演练；负责污水处理站运营托管的人员在进行设备检修、池体清淤等有限空间作业时必须有2人（含）及以上人员在场，并有应急救援人员在场。</w:t>
      </w:r>
    </w:p>
    <w:p w14:paraId="1D224E00">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5、如遇污水站出现停电，停机维护，出水异常等情况，应立即采取应急处理措施，保证正常 排放，并及时向采购人汇报；供应商要保证操作人员和设备的安全，对造成的人员伤亡和设备故 障，一切责任由供应商承担。 </w:t>
      </w:r>
    </w:p>
    <w:p w14:paraId="4E58662A">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6、供应商应将运营记录、设备维护记录、检修记录、操作人员交接班记录整理成册并定期交 由采购人备案。 </w:t>
      </w:r>
    </w:p>
    <w:p w14:paraId="62DF9283">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(三)质量要求 1、污水处理站的出水水质稳定合格，达到《医疗机构水污染物排放标准》(GB18466-2005) 表 2中的排放标准。具体出水水质指标见下表(单位：mg/L , pH 无量纲；色度单位为度) </w:t>
      </w:r>
    </w:p>
    <w:p w14:paraId="7071F332">
      <w:pPr>
        <w:numPr>
          <w:ilvl w:val="0"/>
          <w:numId w:val="0"/>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表2 出水水质指标表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C4E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814199">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序号</w:t>
            </w:r>
          </w:p>
        </w:tc>
        <w:tc>
          <w:tcPr>
            <w:tcW w:w="2841" w:type="dxa"/>
          </w:tcPr>
          <w:p w14:paraId="79E40555">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水质项目</w:t>
            </w:r>
          </w:p>
        </w:tc>
        <w:tc>
          <w:tcPr>
            <w:tcW w:w="2841" w:type="dxa"/>
          </w:tcPr>
          <w:p w14:paraId="3CFF83BC">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出水水质</w:t>
            </w:r>
          </w:p>
        </w:tc>
      </w:tr>
      <w:tr w14:paraId="3604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DED9E42">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1</w:t>
            </w:r>
          </w:p>
        </w:tc>
        <w:tc>
          <w:tcPr>
            <w:tcW w:w="2841" w:type="dxa"/>
          </w:tcPr>
          <w:p w14:paraId="0AAE811D">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pH</w:t>
            </w:r>
          </w:p>
        </w:tc>
        <w:tc>
          <w:tcPr>
            <w:tcW w:w="2841" w:type="dxa"/>
          </w:tcPr>
          <w:p w14:paraId="4E443917">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6-9</w:t>
            </w:r>
          </w:p>
        </w:tc>
      </w:tr>
      <w:tr w14:paraId="0C73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653DCD">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2</w:t>
            </w:r>
          </w:p>
        </w:tc>
        <w:tc>
          <w:tcPr>
            <w:tcW w:w="2841" w:type="dxa"/>
          </w:tcPr>
          <w:p w14:paraId="24ABDF97">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CODcr(mg/L)</w:t>
            </w:r>
          </w:p>
        </w:tc>
        <w:tc>
          <w:tcPr>
            <w:tcW w:w="2841" w:type="dxa"/>
          </w:tcPr>
          <w:p w14:paraId="7D13D7E1">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≤250</w:t>
            </w:r>
          </w:p>
        </w:tc>
      </w:tr>
      <w:tr w14:paraId="6964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44449D4">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3</w:t>
            </w:r>
          </w:p>
        </w:tc>
        <w:tc>
          <w:tcPr>
            <w:tcW w:w="2841" w:type="dxa"/>
          </w:tcPr>
          <w:p w14:paraId="7610E91C">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BOD5(mg/L)</w:t>
            </w:r>
          </w:p>
        </w:tc>
        <w:tc>
          <w:tcPr>
            <w:tcW w:w="2841" w:type="dxa"/>
          </w:tcPr>
          <w:p w14:paraId="3027D5DA">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≤100</w:t>
            </w:r>
          </w:p>
        </w:tc>
      </w:tr>
      <w:tr w14:paraId="46A3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DF2B828">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4</w:t>
            </w:r>
          </w:p>
        </w:tc>
        <w:tc>
          <w:tcPr>
            <w:tcW w:w="2841" w:type="dxa"/>
          </w:tcPr>
          <w:p w14:paraId="3B95D0F7">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氨氮(mg/L)</w:t>
            </w:r>
          </w:p>
        </w:tc>
        <w:tc>
          <w:tcPr>
            <w:tcW w:w="2841" w:type="dxa"/>
          </w:tcPr>
          <w:p w14:paraId="3FD446F6">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≤35</w:t>
            </w:r>
          </w:p>
        </w:tc>
      </w:tr>
      <w:tr w14:paraId="654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4CD8A1">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5</w:t>
            </w:r>
          </w:p>
        </w:tc>
        <w:tc>
          <w:tcPr>
            <w:tcW w:w="2841" w:type="dxa"/>
          </w:tcPr>
          <w:p w14:paraId="69E796ED">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SS(mg/L)</w:t>
            </w:r>
          </w:p>
        </w:tc>
        <w:tc>
          <w:tcPr>
            <w:tcW w:w="2841" w:type="dxa"/>
          </w:tcPr>
          <w:p w14:paraId="1A591A42">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≤60</w:t>
            </w:r>
          </w:p>
        </w:tc>
      </w:tr>
      <w:tr w14:paraId="7A584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FA3AB8">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6</w:t>
            </w:r>
          </w:p>
        </w:tc>
        <w:tc>
          <w:tcPr>
            <w:tcW w:w="2841" w:type="dxa"/>
          </w:tcPr>
          <w:p w14:paraId="7A2562E1">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粪大肠杆菌(MPN/L)</w:t>
            </w:r>
          </w:p>
        </w:tc>
        <w:tc>
          <w:tcPr>
            <w:tcW w:w="2841" w:type="dxa"/>
          </w:tcPr>
          <w:p w14:paraId="3FA379DC">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≤5000</w:t>
            </w:r>
          </w:p>
        </w:tc>
      </w:tr>
      <w:tr w14:paraId="7330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1BB29C">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7</w:t>
            </w:r>
          </w:p>
        </w:tc>
        <w:tc>
          <w:tcPr>
            <w:tcW w:w="2841" w:type="dxa"/>
          </w:tcPr>
          <w:p w14:paraId="0334C53F">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消毒池出口余氯(mg/L)</w:t>
            </w:r>
          </w:p>
        </w:tc>
        <w:tc>
          <w:tcPr>
            <w:tcW w:w="2841" w:type="dxa"/>
          </w:tcPr>
          <w:p w14:paraId="3DB86691">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2-8</w:t>
            </w:r>
          </w:p>
        </w:tc>
      </w:tr>
    </w:tbl>
    <w:p w14:paraId="2051D89D">
      <w:pPr>
        <w:widowControl w:val="0"/>
        <w:numPr>
          <w:ilvl w:val="0"/>
          <w:numId w:val="0"/>
        </w:numPr>
        <w:jc w:val="both"/>
        <w:rPr>
          <w:rFonts w:hint="eastAsia" w:ascii="宋体" w:hAnsi="宋体" w:eastAsia="宋体" w:cs="宋体"/>
          <w:b w:val="0"/>
          <w:bCs w:val="0"/>
          <w:color w:val="000000"/>
          <w:sz w:val="28"/>
          <w:szCs w:val="28"/>
        </w:rPr>
      </w:pPr>
    </w:p>
    <w:p w14:paraId="7B7FAE8C">
      <w:pPr>
        <w:widowControl w:val="0"/>
        <w:numPr>
          <w:ilvl w:val="0"/>
          <w:numId w:val="0"/>
        </w:numPr>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备注：以上标准应符合国家相关标准，后期运行中如有标准更新，应执行最新的相关标准， 最新标准提供相关材料至采购人。</w:t>
      </w:r>
    </w:p>
    <w:p w14:paraId="0CE92AA5">
      <w:pPr>
        <w:widowControl w:val="0"/>
        <w:numPr>
          <w:ilvl w:val="0"/>
          <w:numId w:val="2"/>
        </w:numPr>
        <w:ind w:left="14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污水处理站排出的废气应进行除臭除味处理，保证污水处理站周边污染物达到表2《医疗 机构水污染物排放标准》 (GB18466-2005)、《恶臭污染物排放标准》(GB14554-1993)中的标准。 </w:t>
      </w:r>
    </w:p>
    <w:p w14:paraId="0B084958">
      <w:pPr>
        <w:widowControl w:val="0"/>
        <w:numPr>
          <w:ilvl w:val="0"/>
          <w:numId w:val="0"/>
        </w:numPr>
        <w:ind w:left="140" w:left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表2 污水站周边大气污染物最高允许浓度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6A8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797E15">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序号</w:t>
            </w:r>
          </w:p>
        </w:tc>
        <w:tc>
          <w:tcPr>
            <w:tcW w:w="2841" w:type="dxa"/>
          </w:tcPr>
          <w:p w14:paraId="6973C764">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控制项目</w:t>
            </w:r>
          </w:p>
        </w:tc>
        <w:tc>
          <w:tcPr>
            <w:tcW w:w="2841" w:type="dxa"/>
          </w:tcPr>
          <w:p w14:paraId="28BF98D4">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标准值</w:t>
            </w:r>
          </w:p>
        </w:tc>
      </w:tr>
      <w:tr w14:paraId="568F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7F38787">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1</w:t>
            </w:r>
          </w:p>
        </w:tc>
        <w:tc>
          <w:tcPr>
            <w:tcW w:w="2841" w:type="dxa"/>
          </w:tcPr>
          <w:p w14:paraId="48865561">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氨/(mg/m3)</w:t>
            </w:r>
          </w:p>
        </w:tc>
        <w:tc>
          <w:tcPr>
            <w:tcW w:w="2841" w:type="dxa"/>
          </w:tcPr>
          <w:p w14:paraId="1FF90383">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1.0</w:t>
            </w:r>
          </w:p>
        </w:tc>
      </w:tr>
      <w:tr w14:paraId="38C9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910256">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2</w:t>
            </w:r>
          </w:p>
        </w:tc>
        <w:tc>
          <w:tcPr>
            <w:tcW w:w="2841" w:type="dxa"/>
          </w:tcPr>
          <w:p w14:paraId="23F4B99E">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硫化物/(mg/m3)</w:t>
            </w:r>
          </w:p>
        </w:tc>
        <w:tc>
          <w:tcPr>
            <w:tcW w:w="2841" w:type="dxa"/>
          </w:tcPr>
          <w:p w14:paraId="63C1C845">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0.03</w:t>
            </w:r>
          </w:p>
        </w:tc>
      </w:tr>
      <w:tr w14:paraId="63FC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F0B784">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3</w:t>
            </w:r>
          </w:p>
        </w:tc>
        <w:tc>
          <w:tcPr>
            <w:tcW w:w="2841" w:type="dxa"/>
          </w:tcPr>
          <w:p w14:paraId="6FF45E77">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臭气浓度(无量纲)</w:t>
            </w:r>
          </w:p>
        </w:tc>
        <w:tc>
          <w:tcPr>
            <w:tcW w:w="2841" w:type="dxa"/>
          </w:tcPr>
          <w:p w14:paraId="7C6E3143">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10</w:t>
            </w:r>
          </w:p>
        </w:tc>
      </w:tr>
      <w:tr w14:paraId="39CA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140B99">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4</w:t>
            </w:r>
          </w:p>
        </w:tc>
        <w:tc>
          <w:tcPr>
            <w:tcW w:w="2841" w:type="dxa"/>
          </w:tcPr>
          <w:p w14:paraId="4D6D144B">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氯气/(mg/m3)</w:t>
            </w:r>
          </w:p>
        </w:tc>
        <w:tc>
          <w:tcPr>
            <w:tcW w:w="2841" w:type="dxa"/>
          </w:tcPr>
          <w:p w14:paraId="7D8F4BD2">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0.1</w:t>
            </w:r>
          </w:p>
        </w:tc>
      </w:tr>
      <w:tr w14:paraId="731F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786CCCF">
            <w:pPr>
              <w:widowControl w:val="0"/>
              <w:numPr>
                <w:ilvl w:val="0"/>
                <w:numId w:val="0"/>
              </w:numPr>
              <w:jc w:val="both"/>
              <w:rPr>
                <w:rFonts w:hint="eastAsia" w:ascii="宋体" w:hAnsi="宋体" w:eastAsia="宋体" w:cs="宋体"/>
                <w:b w:val="0"/>
                <w:bCs w:val="0"/>
                <w:color w:val="000000"/>
                <w:sz w:val="28"/>
                <w:szCs w:val="28"/>
                <w:vertAlign w:val="baseline"/>
                <w:lang w:val="en-US" w:eastAsia="zh-CN"/>
              </w:rPr>
            </w:pPr>
            <w:r>
              <w:rPr>
                <w:rFonts w:hint="eastAsia" w:ascii="宋体" w:hAnsi="宋体" w:eastAsia="宋体" w:cs="宋体"/>
                <w:b w:val="0"/>
                <w:bCs w:val="0"/>
                <w:color w:val="000000"/>
                <w:sz w:val="28"/>
                <w:szCs w:val="28"/>
                <w:vertAlign w:val="baseline"/>
                <w:lang w:val="en-US" w:eastAsia="zh-CN"/>
              </w:rPr>
              <w:t>5</w:t>
            </w:r>
          </w:p>
        </w:tc>
        <w:tc>
          <w:tcPr>
            <w:tcW w:w="2841" w:type="dxa"/>
          </w:tcPr>
          <w:p w14:paraId="7C39A2D7">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甲烷(指处理站内最高体积百分数%)</w:t>
            </w:r>
          </w:p>
        </w:tc>
        <w:tc>
          <w:tcPr>
            <w:tcW w:w="2841" w:type="dxa"/>
          </w:tcPr>
          <w:p w14:paraId="7B2BB76E">
            <w:pPr>
              <w:widowControl w:val="0"/>
              <w:numPr>
                <w:ilvl w:val="0"/>
                <w:numId w:val="0"/>
              </w:numPr>
              <w:jc w:val="both"/>
              <w:rPr>
                <w:rFonts w:hint="eastAsia" w:ascii="宋体" w:hAnsi="宋体" w:eastAsia="宋体" w:cs="宋体"/>
                <w:b w:val="0"/>
                <w:bCs w:val="0"/>
                <w:color w:val="000000"/>
                <w:sz w:val="28"/>
                <w:szCs w:val="28"/>
                <w:vertAlign w:val="baseline"/>
              </w:rPr>
            </w:pPr>
            <w:r>
              <w:rPr>
                <w:rFonts w:hint="eastAsia" w:ascii="宋体" w:hAnsi="宋体" w:eastAsia="宋体" w:cs="宋体"/>
                <w:b w:val="0"/>
                <w:bCs w:val="0"/>
                <w:color w:val="000000"/>
                <w:sz w:val="20"/>
                <w:szCs w:val="20"/>
              </w:rPr>
              <w:t>1</w:t>
            </w:r>
          </w:p>
        </w:tc>
      </w:tr>
    </w:tbl>
    <w:p w14:paraId="0E49AE04">
      <w:pPr>
        <w:widowControl w:val="0"/>
        <w:numPr>
          <w:ilvl w:val="0"/>
          <w:numId w:val="0"/>
        </w:numPr>
        <w:jc w:val="both"/>
        <w:rPr>
          <w:rFonts w:hint="eastAsia" w:ascii="宋体" w:hAnsi="宋体" w:eastAsia="宋体" w:cs="宋体"/>
          <w:b w:val="0"/>
          <w:bCs w:val="0"/>
          <w:color w:val="000000"/>
          <w:sz w:val="28"/>
          <w:szCs w:val="28"/>
        </w:rPr>
      </w:pPr>
    </w:p>
    <w:p w14:paraId="691CDAFA">
      <w:pPr>
        <w:widowControl w:val="0"/>
        <w:numPr>
          <w:ilvl w:val="0"/>
          <w:numId w:val="0"/>
        </w:numPr>
        <w:jc w:val="both"/>
        <w:rPr>
          <w:rFonts w:hint="eastAsia" w:ascii="宋体" w:hAnsi="宋体" w:eastAsia="宋体" w:cs="宋体"/>
          <w:b w:val="0"/>
          <w:bCs w:val="0"/>
          <w:color w:val="000000"/>
          <w:sz w:val="28"/>
          <w:szCs w:val="28"/>
        </w:rPr>
      </w:pPr>
    </w:p>
    <w:p w14:paraId="6A3508EC">
      <w:pPr>
        <w:widowControl w:val="0"/>
        <w:numPr>
          <w:ilvl w:val="0"/>
          <w:numId w:val="0"/>
        </w:numPr>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备注：以上标准应符合国家相关标准，后期运行中如有标准更新，应执行最新的相关标准， 最新标准提供相关材料至采购人。 </w:t>
      </w:r>
    </w:p>
    <w:p w14:paraId="40898809">
      <w:pPr>
        <w:widowControl w:val="0"/>
        <w:numPr>
          <w:ilvl w:val="0"/>
          <w:numId w:val="0"/>
        </w:numPr>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3、污水处理站污泥属危险废物，应按危险废物进行处理和处置。污泥清淘前应进行监测，达 到表3《医疗机构污泥控制标准》的要求。</w:t>
      </w:r>
    </w:p>
    <w:p w14:paraId="39DB6822">
      <w:pPr>
        <w:widowControl w:val="0"/>
        <w:numPr>
          <w:ilvl w:val="0"/>
          <w:numId w:val="0"/>
        </w:numPr>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表3 医疗机构污泥控制标准</w:t>
      </w:r>
    </w:p>
    <w:p w14:paraId="78D8C122">
      <w:pPr>
        <w:widowControl w:val="0"/>
        <w:numPr>
          <w:ilvl w:val="0"/>
          <w:numId w:val="0"/>
        </w:numPr>
        <w:jc w:val="both"/>
        <w:rPr>
          <w:rFonts w:hint="eastAsia" w:ascii="宋体" w:hAnsi="宋体" w:eastAsia="宋体" w:cs="宋体"/>
          <w:b w:val="0"/>
          <w:bCs w:val="0"/>
          <w:color w:val="000000"/>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416"/>
        <w:gridCol w:w="1416"/>
        <w:gridCol w:w="1416"/>
        <w:gridCol w:w="1417"/>
        <w:gridCol w:w="1417"/>
      </w:tblGrid>
      <w:tr w14:paraId="5A5B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6" w:type="dxa"/>
          </w:tcPr>
          <w:p w14:paraId="5BB88CC2">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医疗机构类别</w:t>
            </w:r>
          </w:p>
        </w:tc>
        <w:tc>
          <w:tcPr>
            <w:tcW w:w="1416" w:type="dxa"/>
          </w:tcPr>
          <w:p w14:paraId="166167CE">
            <w:pPr>
              <w:widowControl w:val="0"/>
              <w:numPr>
                <w:ilvl w:val="0"/>
                <w:numId w:val="0"/>
              </w:numPr>
              <w:jc w:val="both"/>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粪大肠菌群数</w:t>
            </w:r>
          </w:p>
          <w:p w14:paraId="2AA1CB38">
            <w:pPr>
              <w:widowControl w:val="0"/>
              <w:numPr>
                <w:ilvl w:val="0"/>
                <w:numId w:val="0"/>
              </w:numPr>
              <w:jc w:val="both"/>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(MPN/g)</w:t>
            </w:r>
          </w:p>
        </w:tc>
        <w:tc>
          <w:tcPr>
            <w:tcW w:w="1416" w:type="dxa"/>
          </w:tcPr>
          <w:p w14:paraId="491C44A3">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肠道致病菌</w:t>
            </w:r>
          </w:p>
        </w:tc>
        <w:tc>
          <w:tcPr>
            <w:tcW w:w="1416" w:type="dxa"/>
          </w:tcPr>
          <w:p w14:paraId="75BB0DB2">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肠道病毒</w:t>
            </w:r>
          </w:p>
        </w:tc>
        <w:tc>
          <w:tcPr>
            <w:tcW w:w="1417" w:type="dxa"/>
          </w:tcPr>
          <w:p w14:paraId="3A822E71">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结核杆菌</w:t>
            </w:r>
          </w:p>
        </w:tc>
        <w:tc>
          <w:tcPr>
            <w:tcW w:w="1417" w:type="dxa"/>
          </w:tcPr>
          <w:p w14:paraId="42861F0E">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蛔虫卵死亡率(%)</w:t>
            </w:r>
          </w:p>
        </w:tc>
      </w:tr>
      <w:tr w14:paraId="048C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6" w:type="dxa"/>
          </w:tcPr>
          <w:p w14:paraId="0AB806BD">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传染病医疗机构</w:t>
            </w:r>
          </w:p>
        </w:tc>
        <w:tc>
          <w:tcPr>
            <w:tcW w:w="1416" w:type="dxa"/>
          </w:tcPr>
          <w:p w14:paraId="067CACF5">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≤100</w:t>
            </w:r>
          </w:p>
        </w:tc>
        <w:tc>
          <w:tcPr>
            <w:tcW w:w="1416" w:type="dxa"/>
          </w:tcPr>
          <w:p w14:paraId="317B3666">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不得检出</w:t>
            </w:r>
          </w:p>
        </w:tc>
        <w:tc>
          <w:tcPr>
            <w:tcW w:w="1416" w:type="dxa"/>
          </w:tcPr>
          <w:p w14:paraId="3F406C03">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不得检出</w:t>
            </w:r>
          </w:p>
        </w:tc>
        <w:tc>
          <w:tcPr>
            <w:tcW w:w="1417" w:type="dxa"/>
          </w:tcPr>
          <w:p w14:paraId="401190D6">
            <w:pPr>
              <w:widowControl w:val="0"/>
              <w:numPr>
                <w:ilvl w:val="0"/>
                <w:numId w:val="0"/>
              </w:numPr>
              <w:jc w:val="both"/>
              <w:rPr>
                <w:rFonts w:hint="eastAsia" w:ascii="宋体" w:hAnsi="宋体" w:eastAsia="宋体" w:cs="宋体"/>
                <w:b w:val="0"/>
                <w:bCs w:val="0"/>
                <w:color w:val="000000"/>
                <w:sz w:val="20"/>
                <w:szCs w:val="20"/>
                <w:vertAlign w:val="baseline"/>
              </w:rPr>
            </w:pPr>
          </w:p>
        </w:tc>
        <w:tc>
          <w:tcPr>
            <w:tcW w:w="1417" w:type="dxa"/>
          </w:tcPr>
          <w:p w14:paraId="0CAE859E">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&gt;95</w:t>
            </w:r>
          </w:p>
        </w:tc>
      </w:tr>
      <w:tr w14:paraId="57E4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16" w:type="dxa"/>
          </w:tcPr>
          <w:p w14:paraId="2ADF89BC">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结核病医疗机构</w:t>
            </w:r>
          </w:p>
        </w:tc>
        <w:tc>
          <w:tcPr>
            <w:tcW w:w="1416" w:type="dxa"/>
          </w:tcPr>
          <w:p w14:paraId="2664C214">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≤100</w:t>
            </w:r>
          </w:p>
        </w:tc>
        <w:tc>
          <w:tcPr>
            <w:tcW w:w="1416" w:type="dxa"/>
          </w:tcPr>
          <w:p w14:paraId="6706C8A7">
            <w:pPr>
              <w:widowControl w:val="0"/>
              <w:numPr>
                <w:ilvl w:val="0"/>
                <w:numId w:val="0"/>
              </w:numPr>
              <w:jc w:val="both"/>
              <w:rPr>
                <w:rFonts w:hint="eastAsia" w:ascii="宋体" w:hAnsi="宋体" w:eastAsia="宋体" w:cs="宋体"/>
                <w:b w:val="0"/>
                <w:bCs w:val="0"/>
                <w:color w:val="000000"/>
                <w:sz w:val="20"/>
                <w:szCs w:val="20"/>
                <w:vertAlign w:val="baseline"/>
              </w:rPr>
            </w:pPr>
          </w:p>
        </w:tc>
        <w:tc>
          <w:tcPr>
            <w:tcW w:w="1416" w:type="dxa"/>
          </w:tcPr>
          <w:p w14:paraId="16588C06">
            <w:pPr>
              <w:widowControl w:val="0"/>
              <w:numPr>
                <w:ilvl w:val="0"/>
                <w:numId w:val="0"/>
              </w:numPr>
              <w:jc w:val="both"/>
              <w:rPr>
                <w:rFonts w:hint="eastAsia" w:ascii="宋体" w:hAnsi="宋体" w:eastAsia="宋体" w:cs="宋体"/>
                <w:b w:val="0"/>
                <w:bCs w:val="0"/>
                <w:color w:val="000000"/>
                <w:sz w:val="20"/>
                <w:szCs w:val="20"/>
                <w:vertAlign w:val="baseline"/>
              </w:rPr>
            </w:pPr>
          </w:p>
        </w:tc>
        <w:tc>
          <w:tcPr>
            <w:tcW w:w="1417" w:type="dxa"/>
          </w:tcPr>
          <w:p w14:paraId="3C167483">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不得检出</w:t>
            </w:r>
          </w:p>
        </w:tc>
        <w:tc>
          <w:tcPr>
            <w:tcW w:w="1417" w:type="dxa"/>
          </w:tcPr>
          <w:p w14:paraId="5BA7311C">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&gt;95</w:t>
            </w:r>
          </w:p>
        </w:tc>
      </w:tr>
      <w:tr w14:paraId="233F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16" w:type="dxa"/>
          </w:tcPr>
          <w:p w14:paraId="06585ABE">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综合医疗机构和 其它医疗机构</w:t>
            </w:r>
          </w:p>
        </w:tc>
        <w:tc>
          <w:tcPr>
            <w:tcW w:w="1416" w:type="dxa"/>
          </w:tcPr>
          <w:p w14:paraId="64E888A4">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≤100</w:t>
            </w:r>
          </w:p>
        </w:tc>
        <w:tc>
          <w:tcPr>
            <w:tcW w:w="1416" w:type="dxa"/>
          </w:tcPr>
          <w:p w14:paraId="4F02DB95">
            <w:pPr>
              <w:widowControl w:val="0"/>
              <w:numPr>
                <w:ilvl w:val="0"/>
                <w:numId w:val="0"/>
              </w:numPr>
              <w:jc w:val="both"/>
              <w:rPr>
                <w:rFonts w:hint="eastAsia" w:ascii="宋体" w:hAnsi="宋体" w:eastAsia="宋体" w:cs="宋体"/>
                <w:b w:val="0"/>
                <w:bCs w:val="0"/>
                <w:color w:val="000000"/>
                <w:sz w:val="20"/>
                <w:szCs w:val="20"/>
                <w:vertAlign w:val="baseline"/>
              </w:rPr>
            </w:pPr>
          </w:p>
        </w:tc>
        <w:tc>
          <w:tcPr>
            <w:tcW w:w="1416" w:type="dxa"/>
          </w:tcPr>
          <w:p w14:paraId="0015B15A">
            <w:pPr>
              <w:widowControl w:val="0"/>
              <w:numPr>
                <w:ilvl w:val="0"/>
                <w:numId w:val="0"/>
              </w:numPr>
              <w:jc w:val="both"/>
              <w:rPr>
                <w:rFonts w:hint="eastAsia" w:ascii="宋体" w:hAnsi="宋体" w:eastAsia="宋体" w:cs="宋体"/>
                <w:b w:val="0"/>
                <w:bCs w:val="0"/>
                <w:color w:val="000000"/>
                <w:sz w:val="20"/>
                <w:szCs w:val="20"/>
                <w:vertAlign w:val="baseline"/>
              </w:rPr>
            </w:pPr>
          </w:p>
        </w:tc>
        <w:tc>
          <w:tcPr>
            <w:tcW w:w="1417" w:type="dxa"/>
          </w:tcPr>
          <w:p w14:paraId="71FA72CE">
            <w:pPr>
              <w:widowControl w:val="0"/>
              <w:numPr>
                <w:ilvl w:val="0"/>
                <w:numId w:val="0"/>
              </w:numPr>
              <w:jc w:val="both"/>
              <w:rPr>
                <w:rFonts w:hint="eastAsia" w:ascii="宋体" w:hAnsi="宋体" w:eastAsia="宋体" w:cs="宋体"/>
                <w:b w:val="0"/>
                <w:bCs w:val="0"/>
                <w:color w:val="000000"/>
                <w:sz w:val="20"/>
                <w:szCs w:val="20"/>
                <w:vertAlign w:val="baseline"/>
              </w:rPr>
            </w:pPr>
          </w:p>
        </w:tc>
        <w:tc>
          <w:tcPr>
            <w:tcW w:w="1417" w:type="dxa"/>
          </w:tcPr>
          <w:p w14:paraId="3E2038E3">
            <w:pPr>
              <w:widowControl w:val="0"/>
              <w:numPr>
                <w:ilvl w:val="0"/>
                <w:numId w:val="0"/>
              </w:numPr>
              <w:jc w:val="both"/>
              <w:rPr>
                <w:rFonts w:hint="eastAsia" w:ascii="宋体" w:hAnsi="宋体" w:eastAsia="宋体" w:cs="宋体"/>
                <w:b w:val="0"/>
                <w:bCs w:val="0"/>
                <w:color w:val="000000"/>
                <w:sz w:val="20"/>
                <w:szCs w:val="20"/>
                <w:vertAlign w:val="baseline"/>
              </w:rPr>
            </w:pPr>
            <w:r>
              <w:rPr>
                <w:rFonts w:hint="eastAsia" w:ascii="宋体" w:hAnsi="宋体" w:eastAsia="宋体" w:cs="宋体"/>
                <w:b w:val="0"/>
                <w:bCs w:val="0"/>
                <w:color w:val="000000"/>
                <w:sz w:val="20"/>
                <w:szCs w:val="20"/>
              </w:rPr>
              <w:t>&gt;95</w:t>
            </w:r>
          </w:p>
        </w:tc>
      </w:tr>
    </w:tbl>
    <w:p w14:paraId="1803AA1E">
      <w:pPr>
        <w:widowControl w:val="0"/>
        <w:numPr>
          <w:ilvl w:val="0"/>
          <w:numId w:val="0"/>
        </w:numPr>
        <w:jc w:val="both"/>
        <w:rPr>
          <w:rFonts w:hint="eastAsia" w:ascii="宋体" w:hAnsi="宋体" w:eastAsia="宋体" w:cs="宋体"/>
          <w:b w:val="0"/>
          <w:bCs w:val="0"/>
          <w:color w:val="000000"/>
          <w:sz w:val="20"/>
          <w:szCs w:val="20"/>
        </w:rPr>
      </w:pPr>
    </w:p>
    <w:p w14:paraId="31E66320">
      <w:pPr>
        <w:widowControl w:val="0"/>
        <w:numPr>
          <w:ilvl w:val="0"/>
          <w:numId w:val="0"/>
        </w:numPr>
        <w:jc w:val="both"/>
        <w:rPr>
          <w:rFonts w:hint="eastAsia" w:ascii="宋体" w:hAnsi="宋体" w:eastAsia="宋体" w:cs="宋体"/>
          <w:b w:val="0"/>
          <w:bCs w:val="0"/>
          <w:color w:val="000000"/>
          <w:sz w:val="20"/>
          <w:szCs w:val="20"/>
        </w:rPr>
      </w:pPr>
    </w:p>
    <w:p w14:paraId="5F919F08">
      <w:pPr>
        <w:widowControl w:val="0"/>
        <w:numPr>
          <w:ilvl w:val="0"/>
          <w:numId w:val="0"/>
        </w:numPr>
        <w:jc w:val="both"/>
        <w:rPr>
          <w:rFonts w:hint="eastAsia" w:ascii="宋体" w:hAnsi="宋体" w:eastAsia="宋体" w:cs="宋体"/>
          <w:b w:val="0"/>
          <w:bCs w:val="0"/>
          <w:color w:val="000000"/>
          <w:sz w:val="20"/>
          <w:szCs w:val="20"/>
        </w:rPr>
      </w:pPr>
    </w:p>
    <w:p w14:paraId="13595046">
      <w:pPr>
        <w:widowControl w:val="0"/>
        <w:numPr>
          <w:ilvl w:val="0"/>
          <w:numId w:val="0"/>
        </w:numPr>
        <w:jc w:val="both"/>
        <w:rPr>
          <w:rFonts w:hint="eastAsia" w:ascii="宋体" w:hAnsi="宋体" w:eastAsia="宋体" w:cs="宋体"/>
          <w:b w:val="0"/>
          <w:bCs w:val="0"/>
          <w:color w:val="000000"/>
          <w:sz w:val="20"/>
          <w:szCs w:val="20"/>
        </w:rPr>
      </w:pPr>
    </w:p>
    <w:p w14:paraId="42DD1D47">
      <w:pPr>
        <w:widowControl w:val="0"/>
        <w:numPr>
          <w:ilvl w:val="0"/>
          <w:numId w:val="0"/>
        </w:numPr>
        <w:jc w:val="both"/>
        <w:rPr>
          <w:rFonts w:hint="eastAsia" w:ascii="宋体" w:hAnsi="宋体" w:eastAsia="宋体" w:cs="宋体"/>
          <w:b w:val="0"/>
          <w:bCs w:val="0"/>
          <w:color w:val="000000"/>
          <w:sz w:val="20"/>
          <w:szCs w:val="20"/>
        </w:rPr>
      </w:pPr>
    </w:p>
    <w:p w14:paraId="11F0243D">
      <w:pPr>
        <w:widowControl w:val="0"/>
        <w:numPr>
          <w:ilvl w:val="0"/>
          <w:numId w:val="0"/>
        </w:numPr>
        <w:jc w:val="both"/>
        <w:rPr>
          <w:rFonts w:hint="eastAsia" w:ascii="宋体" w:hAnsi="宋体" w:eastAsia="宋体" w:cs="宋体"/>
          <w:b w:val="0"/>
          <w:bCs w:val="0"/>
          <w:color w:val="000000"/>
          <w:sz w:val="20"/>
          <w:szCs w:val="20"/>
        </w:rPr>
      </w:pPr>
    </w:p>
    <w:p w14:paraId="72173AFC">
      <w:pPr>
        <w:widowControl w:val="0"/>
        <w:numPr>
          <w:ilvl w:val="0"/>
          <w:numId w:val="0"/>
        </w:numPr>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4、按照排污许可要求提供具有资质的第三方出具的合格检测报告并填报相关台账资料。</w:t>
      </w:r>
    </w:p>
    <w:p w14:paraId="4C481A7C">
      <w:pPr>
        <w:widowControl w:val="0"/>
        <w:numPr>
          <w:ilvl w:val="0"/>
          <w:numId w:val="0"/>
        </w:numPr>
        <w:jc w:val="both"/>
        <w:rPr>
          <w:rFonts w:hint="eastAsia" w:ascii="宋体" w:hAnsi="宋体" w:eastAsia="宋体" w:cs="宋体"/>
          <w:b w:val="0"/>
          <w:bCs w:val="0"/>
          <w:color w:val="000000"/>
          <w:sz w:val="28"/>
          <w:szCs w:val="28"/>
        </w:rPr>
      </w:pPr>
    </w:p>
    <w:p w14:paraId="00056D9D">
      <w:pPr>
        <w:widowControl w:val="0"/>
        <w:numPr>
          <w:ilvl w:val="0"/>
          <w:numId w:val="3"/>
        </w:numPr>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人员要求 1、供应商应提配备项目负责人1人</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负责人随叫随到，具有污水处理设施维保的经验，持证上岗。熟练掌握设备的操作各项流程，严格按规范操作；对现场操作人员进行系统的岗前培训，熟悉相关法律法规知识，对现场操作人员建立定期考核和持续培训制度。</w:t>
      </w:r>
      <w:r>
        <w:rPr>
          <w:rFonts w:hint="eastAsia" w:ascii="宋体" w:hAnsi="宋体" w:eastAsia="宋体" w:cs="宋体"/>
          <w:b w:val="0"/>
          <w:bCs w:val="0"/>
          <w:color w:val="000000"/>
          <w:sz w:val="28"/>
          <w:szCs w:val="28"/>
          <w:lang w:val="en-US" w:eastAsia="zh-CN"/>
        </w:rPr>
        <w:t>指导</w:t>
      </w:r>
      <w:r>
        <w:rPr>
          <w:rFonts w:hint="eastAsia" w:ascii="宋体" w:hAnsi="宋体" w:eastAsia="宋体" w:cs="宋体"/>
          <w:b w:val="0"/>
          <w:bCs w:val="0"/>
          <w:color w:val="000000"/>
          <w:sz w:val="28"/>
          <w:szCs w:val="28"/>
        </w:rPr>
        <w:t>现场操作人员，工作时间符合国家法律法规相关要求，熟 悉环保相关法律法规知识和污水处理站各项操作规程，严格按规范操作，技术团队需熟练掌握设备、设施的性能并能处理机器的故障，确保机器正常运转。</w:t>
      </w:r>
    </w:p>
    <w:p w14:paraId="01E08C4C">
      <w:pPr>
        <w:widowControl w:val="0"/>
        <w:numPr>
          <w:ilvl w:val="0"/>
          <w:numId w:val="4"/>
        </w:numPr>
        <w:ind w:left="14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采购人有权撤销供应商不合格的项目负责人，供应商必须及时更换和补充 。 </w:t>
      </w:r>
    </w:p>
    <w:p w14:paraId="114F2BEC">
      <w:pPr>
        <w:widowControl w:val="0"/>
        <w:numPr>
          <w:ilvl w:val="0"/>
          <w:numId w:val="4"/>
        </w:numPr>
        <w:ind w:left="14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合同期内所发生的人工费等费用均由成交供应商承担(包括福利待遇、安全防护和工作过 程中造成的一切费用等),采购人仅提供维保人员驻点用房，其余设施费用由供应商承担。 </w:t>
      </w:r>
    </w:p>
    <w:p w14:paraId="64EC48DA">
      <w:pPr>
        <w:widowControl w:val="0"/>
        <w:numPr>
          <w:ilvl w:val="0"/>
          <w:numId w:val="4"/>
        </w:numPr>
        <w:ind w:left="14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合同期内现场项目负责人所发生安全责任等事宜均由供应商负责，采购人仅负责对其污水处理站业务的监督，不承担任何人事和安全责任。 </w:t>
      </w:r>
    </w:p>
    <w:p w14:paraId="7CF226AF">
      <w:pPr>
        <w:widowControl w:val="0"/>
        <w:numPr>
          <w:ilvl w:val="0"/>
          <w:numId w:val="4"/>
        </w:numPr>
        <w:ind w:left="14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供应商负责与环保相关部门的业务联系，做好环保部门检查时的接待工作，并安排专人参加环保部门各项培训和会议，取得当地环保部门认可的培训结业证书等有效证件，并负责环保相 关数据的录入，保证相关数据符合环保要求(如工作不及时或者工作失误造成的损失由供应商负责) 。</w:t>
      </w:r>
    </w:p>
    <w:p w14:paraId="30EAF8E6">
      <w:pPr>
        <w:widowControl w:val="0"/>
        <w:numPr>
          <w:ilvl w:val="0"/>
          <w:numId w:val="0"/>
        </w:numPr>
        <w:ind w:left="140" w:left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 6、供应商负责设备、设施的日常维护、保养和检修工作，保持污水处理设备、设施的正常运转，保证水质达标排放。</w:t>
      </w:r>
    </w:p>
    <w:p w14:paraId="048B8272">
      <w:pPr>
        <w:widowControl w:val="0"/>
        <w:numPr>
          <w:ilvl w:val="0"/>
          <w:numId w:val="0"/>
        </w:numPr>
        <w:jc w:val="both"/>
        <w:rPr>
          <w:rFonts w:hint="eastAsia" w:ascii="宋体" w:hAnsi="宋体" w:eastAsia="宋体" w:cs="宋体"/>
          <w:b w:val="0"/>
          <w:bCs w:val="0"/>
          <w:color w:val="000000"/>
          <w:sz w:val="28"/>
          <w:szCs w:val="28"/>
        </w:rPr>
      </w:pPr>
    </w:p>
    <w:p w14:paraId="75C329C6">
      <w:pPr>
        <w:widowControl w:val="0"/>
        <w:numPr>
          <w:ilvl w:val="0"/>
          <w:numId w:val="4"/>
        </w:numPr>
        <w:ind w:left="14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供应商应在运营服务开始前办理并提供环保所需要的各类证书提交采购人审核。</w:t>
      </w:r>
    </w:p>
    <w:p w14:paraId="23121E69">
      <w:pPr>
        <w:widowControl w:val="0"/>
        <w:numPr>
          <w:ilvl w:val="0"/>
          <w:numId w:val="3"/>
        </w:numPr>
        <w:ind w:left="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运营服务的监督与整改 </w:t>
      </w:r>
    </w:p>
    <w:p w14:paraId="534AE7ED">
      <w:pPr>
        <w:widowControl w:val="0"/>
        <w:numPr>
          <w:ilvl w:val="0"/>
          <w:numId w:val="5"/>
        </w:numPr>
        <w:ind w:left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 xml:space="preserve">合同期内供应商必须依据采购人及相关部门政策、规范、文件要求进行运营托管服务，并无条件接受采购人以及相关主管部门的随时抽查及监管，提供所需的一切技术及运维资料。 </w:t>
      </w:r>
    </w:p>
    <w:p w14:paraId="6AE57C49">
      <w:pPr>
        <w:widowControl w:val="0"/>
        <w:numPr>
          <w:ilvl w:val="0"/>
          <w:numId w:val="5"/>
        </w:numPr>
        <w:ind w:left="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现场督查过程中发现以下任何问题，采购人有权作出罚款1000元，同时采购人有权追究供 应商责任，并有权无条件解除合同，(包括但不限于以下行为) 。 (1)本文件中规定的相关情况或服务缺陷金。 (2)</w:t>
      </w:r>
      <w:r>
        <w:rPr>
          <w:rFonts w:hint="eastAsia" w:ascii="宋体" w:hAnsi="宋体" w:eastAsia="宋体" w:cs="宋体"/>
          <w:b w:val="0"/>
          <w:bCs w:val="0"/>
          <w:color w:val="000000"/>
          <w:sz w:val="28"/>
          <w:szCs w:val="28"/>
          <w:lang w:val="en-US" w:eastAsia="zh-CN"/>
        </w:rPr>
        <w:t>项目负责人</w:t>
      </w:r>
      <w:r>
        <w:rPr>
          <w:rFonts w:hint="eastAsia" w:ascii="宋体" w:hAnsi="宋体" w:eastAsia="宋体" w:cs="宋体"/>
          <w:b w:val="0"/>
          <w:bCs w:val="0"/>
          <w:color w:val="000000"/>
          <w:sz w:val="28"/>
          <w:szCs w:val="28"/>
        </w:rPr>
        <w:t>在岗要求：</w:t>
      </w:r>
      <w:r>
        <w:rPr>
          <w:rFonts w:hint="eastAsia" w:ascii="宋体" w:hAnsi="宋体" w:eastAsia="宋体" w:cs="宋体"/>
          <w:b w:val="0"/>
          <w:bCs w:val="0"/>
          <w:color w:val="000000"/>
          <w:sz w:val="28"/>
          <w:szCs w:val="28"/>
          <w:lang w:val="en-US" w:eastAsia="zh-CN"/>
        </w:rPr>
        <w:t>随叫随到</w:t>
      </w:r>
      <w:r>
        <w:rPr>
          <w:rFonts w:hint="eastAsia" w:ascii="宋体" w:hAnsi="宋体" w:eastAsia="宋体" w:cs="宋体"/>
          <w:b w:val="0"/>
          <w:bCs w:val="0"/>
          <w:color w:val="000000"/>
          <w:sz w:val="28"/>
          <w:szCs w:val="28"/>
        </w:rPr>
        <w:t>。 (3)污水处理设备故障修复时限要求：出现后24小时内未完成修复的。并由供应商提供应急处 置措施，并承担污水处理停滞导致的一切责任。 (4)在线监测设备故障修复时限要求：故障出现后24小时内未完成修复的。违规违法所导致的 一切后果由供应商承担。 (5)在线监测设备管理，监管部门(含第四方单位)每检查出一项问题。 (6)在自检、抽检或行业主管部门检查过程中，出现出水水质不达标或造成其他污染的，由此 导致的一切后果由供应商承担。 (7)因出水水质不达标导致或其他原因导致院方被行业主管部门通报、处罚(罚款)或出现其他 影响恶劣情形的。 3.采购人每季度对供应商进行考核，每季度采购人根据考核评分办法进行考核，考核评 分办法以采购人后期制定的为准。考核达到90分及以上为合格；90 分以下每扣一分罚款1000 元。连续两季度考核不及格的，采购人有权解除合同。</w:t>
      </w:r>
    </w:p>
    <w:p w14:paraId="412D09A3">
      <w:pPr>
        <w:widowControl w:val="0"/>
        <w:numPr>
          <w:ilvl w:val="0"/>
          <w:numId w:val="5"/>
        </w:numPr>
        <w:ind w:left="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采购人负责本项目</w:t>
      </w:r>
      <w:r>
        <w:rPr>
          <w:rFonts w:hint="eastAsia" w:ascii="宋体" w:hAnsi="宋体" w:eastAsia="宋体" w:cs="宋体"/>
          <w:b w:val="0"/>
          <w:bCs w:val="0"/>
          <w:color w:val="000000"/>
          <w:sz w:val="28"/>
          <w:szCs w:val="28"/>
        </w:rPr>
        <w:t>日均污水处理量测算，包含污水处理所需各类药剂采购、运输、添加成本，药剂均符合环保及医用污水处置标准。</w:t>
      </w:r>
    </w:p>
    <w:p w14:paraId="424FD8F3">
      <w:pPr>
        <w:widowControl w:val="0"/>
        <w:numPr>
          <w:ilvl w:val="0"/>
          <w:numId w:val="5"/>
        </w:numPr>
        <w:ind w:left="0" w:leftChars="0" w:firstLine="0" w:firstLineChars="0"/>
        <w:jc w:val="both"/>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采购人负责本项目</w:t>
      </w:r>
      <w:r>
        <w:rPr>
          <w:rFonts w:hint="eastAsia" w:ascii="宋体" w:hAnsi="宋体" w:eastAsia="宋体" w:cs="宋体"/>
          <w:b w:val="0"/>
          <w:bCs w:val="0"/>
          <w:color w:val="000000"/>
          <w:sz w:val="28"/>
          <w:szCs w:val="28"/>
        </w:rPr>
        <w:t>第三方专业机构提供的在线监测设备托管运维、数据联网、环保平台对接、年度比对监测、废液合规处置等专项服务费用。</w:t>
      </w:r>
    </w:p>
    <w:p w14:paraId="6D90CDAE">
      <w:pPr>
        <w:widowControl w:val="0"/>
        <w:numPr>
          <w:ilvl w:val="0"/>
          <w:numId w:val="0"/>
        </w:numPr>
        <w:ind w:leftChars="0"/>
        <w:jc w:val="both"/>
        <w:rPr>
          <w:rFonts w:hint="eastAsia" w:ascii="宋体" w:hAnsi="宋体" w:eastAsia="宋体" w:cs="宋体"/>
          <w:b w:val="0"/>
          <w:bCs w:val="0"/>
          <w:color w:val="000000"/>
          <w:sz w:val="28"/>
          <w:szCs w:val="28"/>
        </w:rPr>
      </w:pPr>
    </w:p>
    <w:p w14:paraId="3814F5F7">
      <w:pPr>
        <w:widowControl w:val="0"/>
        <w:numPr>
          <w:ilvl w:val="0"/>
          <w:numId w:val="1"/>
        </w:numPr>
        <w:ind w:left="0" w:leftChars="0" w:firstLine="0" w:firstLineChars="0"/>
        <w:jc w:val="both"/>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报价函</w:t>
      </w:r>
    </w:p>
    <w:p w14:paraId="124FFC81">
      <w:pPr>
        <w:pStyle w:val="5"/>
        <w:jc w:val="center"/>
        <w:rPr>
          <w:rFonts w:hint="eastAsia"/>
        </w:rPr>
      </w:pPr>
      <w:r>
        <w:rPr>
          <w:rFonts w:hint="eastAsia"/>
        </w:rPr>
        <w:t>报价函</w:t>
      </w:r>
    </w:p>
    <w:p w14:paraId="39145685">
      <w:pPr>
        <w:rPr>
          <w:rFonts w:hint="eastAsia"/>
        </w:rPr>
      </w:pPr>
    </w:p>
    <w:p w14:paraId="0C5847F7"/>
    <w:p w14:paraId="1159B30E">
      <w:pPr>
        <w:ind w:firstLine="210" w:firstLineChars="100"/>
        <w:rPr>
          <w:rFonts w:hint="default" w:ascii="宋体" w:hAnsi="宋体"/>
          <w:szCs w:val="21"/>
          <w:lang w:val="en-US"/>
        </w:rPr>
      </w:pPr>
      <w:r>
        <w:rPr>
          <w:rFonts w:hint="eastAsia" w:ascii="宋体" w:hAnsi="宋体"/>
          <w:szCs w:val="21"/>
        </w:rPr>
        <w:t>根据贵单位的需求，</w:t>
      </w:r>
      <w:r>
        <w:rPr>
          <w:rFonts w:hint="eastAsia" w:ascii="宋体" w:hAnsi="宋体"/>
          <w:szCs w:val="21"/>
          <w:lang w:val="en-US" w:eastAsia="zh-CN"/>
        </w:rPr>
        <w:t>阜阳市肿瘤医院河滨路院区</w:t>
      </w:r>
      <w:r>
        <w:rPr>
          <w:rFonts w:hint="eastAsia" w:ascii="宋体" w:hAnsi="宋体"/>
          <w:szCs w:val="21"/>
        </w:rPr>
        <w:t>污水处理</w:t>
      </w:r>
      <w:r>
        <w:rPr>
          <w:rFonts w:hint="eastAsia" w:ascii="宋体" w:hAnsi="宋体"/>
          <w:szCs w:val="21"/>
          <w:lang w:val="en-US" w:eastAsia="zh-CN"/>
        </w:rPr>
        <w:t>自主运行征询造价如下</w:t>
      </w:r>
    </w:p>
    <w:tbl>
      <w:tblPr>
        <w:tblStyle w:val="6"/>
        <w:tblpPr w:leftFromText="180" w:rightFromText="180" w:vertAnchor="text" w:horzAnchor="page" w:tblpXSpec="center" w:tblpY="612"/>
        <w:tblOverlap w:val="never"/>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1842"/>
        <w:gridCol w:w="709"/>
        <w:gridCol w:w="709"/>
        <w:gridCol w:w="1417"/>
        <w:gridCol w:w="1418"/>
        <w:gridCol w:w="1134"/>
      </w:tblGrid>
      <w:tr w14:paraId="4B74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52" w:type="dxa"/>
            <w:noWrap w:val="0"/>
            <w:vAlign w:val="center"/>
          </w:tcPr>
          <w:p w14:paraId="51E41568">
            <w:pPr>
              <w:spacing w:line="360" w:lineRule="auto"/>
              <w:jc w:val="center"/>
              <w:rPr>
                <w:rFonts w:hint="eastAsia" w:ascii="新宋体" w:hAnsi="新宋体" w:eastAsia="新宋体"/>
                <w:b/>
                <w:szCs w:val="21"/>
              </w:rPr>
            </w:pPr>
            <w:r>
              <w:rPr>
                <w:rFonts w:hint="eastAsia" w:ascii="新宋体" w:hAnsi="新宋体" w:eastAsia="新宋体"/>
                <w:b/>
                <w:szCs w:val="21"/>
              </w:rPr>
              <w:t>序号</w:t>
            </w:r>
          </w:p>
        </w:tc>
        <w:tc>
          <w:tcPr>
            <w:tcW w:w="1701" w:type="dxa"/>
            <w:noWrap w:val="0"/>
            <w:vAlign w:val="center"/>
          </w:tcPr>
          <w:p w14:paraId="2246B011">
            <w:pPr>
              <w:spacing w:line="360" w:lineRule="auto"/>
              <w:jc w:val="center"/>
              <w:rPr>
                <w:rFonts w:hint="eastAsia" w:ascii="新宋体" w:hAnsi="新宋体" w:eastAsia="新宋体"/>
                <w:b/>
                <w:szCs w:val="21"/>
                <w:lang w:eastAsia="zh-CN"/>
              </w:rPr>
            </w:pPr>
            <w:r>
              <w:rPr>
                <w:rFonts w:hint="eastAsia" w:ascii="新宋体" w:hAnsi="新宋体" w:eastAsia="新宋体"/>
                <w:b/>
                <w:szCs w:val="21"/>
                <w:lang w:val="en-US" w:eastAsia="zh-CN"/>
              </w:rPr>
              <w:t>项 目</w:t>
            </w:r>
          </w:p>
        </w:tc>
        <w:tc>
          <w:tcPr>
            <w:tcW w:w="1842" w:type="dxa"/>
            <w:noWrap w:val="0"/>
            <w:vAlign w:val="center"/>
          </w:tcPr>
          <w:p w14:paraId="50707059">
            <w:pPr>
              <w:spacing w:line="360" w:lineRule="auto"/>
              <w:jc w:val="center"/>
              <w:rPr>
                <w:rFonts w:hint="eastAsia" w:ascii="新宋体" w:hAnsi="新宋体" w:eastAsia="新宋体"/>
                <w:b/>
                <w:szCs w:val="21"/>
                <w:lang w:eastAsia="zh-CN"/>
              </w:rPr>
            </w:pPr>
            <w:r>
              <w:rPr>
                <w:rFonts w:hint="eastAsia" w:ascii="新宋体" w:hAnsi="新宋体" w:eastAsia="新宋体"/>
                <w:b/>
                <w:szCs w:val="21"/>
                <w:lang w:val="en-US" w:eastAsia="zh-CN"/>
              </w:rPr>
              <w:t>详情</w:t>
            </w:r>
          </w:p>
        </w:tc>
        <w:tc>
          <w:tcPr>
            <w:tcW w:w="709" w:type="dxa"/>
            <w:noWrap w:val="0"/>
            <w:vAlign w:val="center"/>
          </w:tcPr>
          <w:p w14:paraId="60D7BFB6">
            <w:pPr>
              <w:spacing w:line="360" w:lineRule="auto"/>
              <w:jc w:val="center"/>
              <w:rPr>
                <w:rFonts w:ascii="新宋体" w:hAnsi="新宋体" w:eastAsia="新宋体"/>
                <w:b/>
                <w:szCs w:val="21"/>
              </w:rPr>
            </w:pPr>
            <w:r>
              <w:rPr>
                <w:rFonts w:hint="eastAsia" w:ascii="新宋体" w:hAnsi="新宋体" w:eastAsia="新宋体"/>
                <w:b/>
                <w:szCs w:val="21"/>
              </w:rPr>
              <w:t>单位</w:t>
            </w:r>
          </w:p>
        </w:tc>
        <w:tc>
          <w:tcPr>
            <w:tcW w:w="709" w:type="dxa"/>
            <w:noWrap w:val="0"/>
            <w:vAlign w:val="center"/>
          </w:tcPr>
          <w:p w14:paraId="771381D1">
            <w:pPr>
              <w:spacing w:line="360" w:lineRule="auto"/>
              <w:jc w:val="center"/>
              <w:rPr>
                <w:rFonts w:hint="eastAsia" w:ascii="新宋体" w:hAnsi="新宋体" w:eastAsia="新宋体"/>
                <w:b/>
                <w:szCs w:val="21"/>
                <w:lang w:eastAsia="zh-CN"/>
              </w:rPr>
            </w:pPr>
            <w:r>
              <w:rPr>
                <w:rFonts w:hint="eastAsia" w:ascii="新宋体" w:hAnsi="新宋体" w:eastAsia="新宋体"/>
                <w:b/>
                <w:szCs w:val="21"/>
                <w:lang w:val="en-US" w:eastAsia="zh-CN"/>
              </w:rPr>
              <w:t>年限（年）</w:t>
            </w:r>
          </w:p>
        </w:tc>
        <w:tc>
          <w:tcPr>
            <w:tcW w:w="1417" w:type="dxa"/>
            <w:noWrap w:val="0"/>
            <w:vAlign w:val="center"/>
          </w:tcPr>
          <w:p w14:paraId="4D28CA85">
            <w:pPr>
              <w:spacing w:line="360" w:lineRule="auto"/>
              <w:jc w:val="center"/>
              <w:rPr>
                <w:rFonts w:hint="eastAsia" w:ascii="新宋体" w:hAnsi="新宋体" w:eastAsia="新宋体"/>
                <w:b/>
                <w:szCs w:val="21"/>
              </w:rPr>
            </w:pPr>
            <w:r>
              <w:rPr>
                <w:rFonts w:hint="eastAsia" w:ascii="新宋体" w:hAnsi="新宋体" w:eastAsia="新宋体"/>
                <w:b/>
                <w:szCs w:val="21"/>
              </w:rPr>
              <w:t>单价（元）</w:t>
            </w:r>
          </w:p>
        </w:tc>
        <w:tc>
          <w:tcPr>
            <w:tcW w:w="1418" w:type="dxa"/>
            <w:noWrap w:val="0"/>
            <w:vAlign w:val="center"/>
          </w:tcPr>
          <w:p w14:paraId="57830EFD">
            <w:pPr>
              <w:spacing w:line="360" w:lineRule="auto"/>
              <w:rPr>
                <w:rFonts w:hint="eastAsia" w:ascii="新宋体" w:hAnsi="新宋体" w:eastAsia="新宋体"/>
                <w:b/>
                <w:szCs w:val="21"/>
              </w:rPr>
            </w:pPr>
            <w:r>
              <w:rPr>
                <w:rFonts w:hint="eastAsia" w:ascii="新宋体" w:hAnsi="新宋体" w:eastAsia="新宋体"/>
                <w:b/>
                <w:szCs w:val="21"/>
              </w:rPr>
              <w:t>总价（元）</w:t>
            </w:r>
          </w:p>
        </w:tc>
        <w:tc>
          <w:tcPr>
            <w:tcW w:w="1134" w:type="dxa"/>
            <w:noWrap w:val="0"/>
            <w:vAlign w:val="center"/>
          </w:tcPr>
          <w:p w14:paraId="080805BA">
            <w:pPr>
              <w:spacing w:line="360" w:lineRule="auto"/>
              <w:rPr>
                <w:rFonts w:hint="eastAsia" w:ascii="新宋体" w:hAnsi="新宋体" w:eastAsia="新宋体"/>
                <w:b/>
                <w:szCs w:val="21"/>
              </w:rPr>
            </w:pPr>
            <w:r>
              <w:rPr>
                <w:rFonts w:hint="eastAsia" w:ascii="新宋体" w:hAnsi="新宋体" w:eastAsia="新宋体"/>
                <w:b/>
                <w:szCs w:val="21"/>
              </w:rPr>
              <w:t>备注</w:t>
            </w:r>
          </w:p>
        </w:tc>
      </w:tr>
      <w:tr w14:paraId="7C54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 w:type="dxa"/>
            <w:noWrap w:val="0"/>
            <w:vAlign w:val="center"/>
          </w:tcPr>
          <w:p w14:paraId="6841E707">
            <w:pPr>
              <w:spacing w:line="360" w:lineRule="auto"/>
              <w:jc w:val="center"/>
              <w:rPr>
                <w:rFonts w:ascii="宋体" w:hAnsi="宋体"/>
                <w:szCs w:val="21"/>
              </w:rPr>
            </w:pPr>
            <w:r>
              <w:rPr>
                <w:rFonts w:hint="eastAsia" w:ascii="宋体" w:hAnsi="宋体"/>
                <w:szCs w:val="21"/>
              </w:rPr>
              <w:t>1</w:t>
            </w:r>
          </w:p>
        </w:tc>
        <w:tc>
          <w:tcPr>
            <w:tcW w:w="1701" w:type="dxa"/>
            <w:noWrap w:val="0"/>
            <w:vAlign w:val="center"/>
          </w:tcPr>
          <w:p w14:paraId="402AC701">
            <w:pPr>
              <w:spacing w:line="360" w:lineRule="auto"/>
              <w:jc w:val="center"/>
              <w:rPr>
                <w:rFonts w:ascii="宋体" w:hAnsi="宋体"/>
                <w:szCs w:val="21"/>
              </w:rPr>
            </w:pPr>
            <w:r>
              <w:t>人员费用明细</w:t>
            </w:r>
          </w:p>
        </w:tc>
        <w:tc>
          <w:tcPr>
            <w:tcW w:w="1842" w:type="dxa"/>
            <w:noWrap w:val="0"/>
            <w:vAlign w:val="top"/>
          </w:tcPr>
          <w:p w14:paraId="0F30136F">
            <w:pPr>
              <w:spacing w:line="360" w:lineRule="auto"/>
              <w:jc w:val="center"/>
              <w:rPr>
                <w:rFonts w:hint="default" w:ascii="宋体" w:hAnsi="宋体" w:eastAsia="宋体" w:cs="宋体"/>
                <w:smallCaps/>
                <w:szCs w:val="21"/>
                <w:lang w:val="en-US" w:eastAsia="zh-CN"/>
              </w:rPr>
            </w:pPr>
            <w:r>
              <w:rPr>
                <w:rFonts w:hint="eastAsia" w:ascii="宋体" w:hAnsi="宋体" w:cs="宋体"/>
                <w:smallCaps/>
                <w:szCs w:val="21"/>
                <w:lang w:val="en-US" w:eastAsia="zh-CN"/>
              </w:rPr>
              <w:t>项目负责人（不需要驻场，随叫随到）</w:t>
            </w:r>
          </w:p>
        </w:tc>
        <w:tc>
          <w:tcPr>
            <w:tcW w:w="709" w:type="dxa"/>
            <w:noWrap w:val="0"/>
            <w:vAlign w:val="center"/>
          </w:tcPr>
          <w:p w14:paraId="692E56C7">
            <w:pPr>
              <w:spacing w:line="360" w:lineRule="auto"/>
              <w:jc w:val="center"/>
              <w:rPr>
                <w:rFonts w:hint="default" w:eastAsiaTheme="minorEastAsia"/>
                <w:color w:val="000000"/>
                <w:sz w:val="20"/>
                <w:szCs w:val="20"/>
                <w:lang w:val="en-US" w:eastAsia="zh-CN"/>
              </w:rPr>
            </w:pPr>
            <w:r>
              <w:rPr>
                <w:rFonts w:hint="eastAsia"/>
                <w:color w:val="000000"/>
                <w:sz w:val="20"/>
                <w:szCs w:val="20"/>
                <w:lang w:val="en-US" w:eastAsia="zh-CN"/>
              </w:rPr>
              <w:t>名</w:t>
            </w:r>
          </w:p>
        </w:tc>
        <w:tc>
          <w:tcPr>
            <w:tcW w:w="709" w:type="dxa"/>
            <w:noWrap w:val="0"/>
            <w:vAlign w:val="center"/>
          </w:tcPr>
          <w:p w14:paraId="397AE92F">
            <w:pPr>
              <w:spacing w:line="360" w:lineRule="auto"/>
              <w:jc w:val="center"/>
              <w:rPr>
                <w:rFonts w:hint="eastAsia" w:ascii="宋体" w:hAnsi="宋体"/>
                <w:szCs w:val="21"/>
              </w:rPr>
            </w:pPr>
            <w:r>
              <w:rPr>
                <w:rFonts w:hint="eastAsia" w:ascii="宋体" w:hAnsi="宋体"/>
                <w:szCs w:val="21"/>
              </w:rPr>
              <w:t>1</w:t>
            </w:r>
          </w:p>
        </w:tc>
        <w:tc>
          <w:tcPr>
            <w:tcW w:w="1417" w:type="dxa"/>
            <w:noWrap w:val="0"/>
            <w:vAlign w:val="center"/>
          </w:tcPr>
          <w:p w14:paraId="4C42D3EC">
            <w:pPr>
              <w:spacing w:line="360" w:lineRule="auto"/>
              <w:jc w:val="center"/>
              <w:rPr>
                <w:rFonts w:hint="default" w:ascii="宋体" w:hAnsi="宋体" w:eastAsia="宋体"/>
                <w:szCs w:val="21"/>
                <w:lang w:val="en-US" w:eastAsia="zh-CN"/>
              </w:rPr>
            </w:pPr>
          </w:p>
        </w:tc>
        <w:tc>
          <w:tcPr>
            <w:tcW w:w="1418" w:type="dxa"/>
            <w:noWrap w:val="0"/>
            <w:vAlign w:val="center"/>
          </w:tcPr>
          <w:p w14:paraId="68E0E392">
            <w:pPr>
              <w:spacing w:line="360" w:lineRule="auto"/>
              <w:jc w:val="center"/>
              <w:rPr>
                <w:rFonts w:hint="default" w:ascii="宋体" w:hAnsi="宋体" w:eastAsia="宋体"/>
                <w:szCs w:val="21"/>
                <w:lang w:val="en-US" w:eastAsia="zh-CN"/>
              </w:rPr>
            </w:pPr>
          </w:p>
        </w:tc>
        <w:tc>
          <w:tcPr>
            <w:tcW w:w="1134" w:type="dxa"/>
            <w:noWrap w:val="0"/>
            <w:vAlign w:val="center"/>
          </w:tcPr>
          <w:p w14:paraId="375738F9">
            <w:pPr>
              <w:spacing w:line="360" w:lineRule="auto"/>
              <w:rPr>
                <w:rFonts w:hint="default" w:ascii="宋体" w:hAnsi="宋体" w:eastAsia="宋体"/>
                <w:szCs w:val="21"/>
                <w:lang w:val="en-US" w:eastAsia="zh-CN"/>
              </w:rPr>
            </w:pPr>
          </w:p>
        </w:tc>
      </w:tr>
      <w:tr w14:paraId="0455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 w:type="dxa"/>
            <w:noWrap w:val="0"/>
            <w:vAlign w:val="center"/>
          </w:tcPr>
          <w:p w14:paraId="50464A3C">
            <w:pPr>
              <w:spacing w:line="36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1701" w:type="dxa"/>
            <w:noWrap w:val="0"/>
            <w:vAlign w:val="center"/>
          </w:tcPr>
          <w:p w14:paraId="399CD248">
            <w:pPr>
              <w:spacing w:line="360" w:lineRule="auto"/>
              <w:jc w:val="center"/>
              <w:rPr>
                <w:rFonts w:hint="eastAsia" w:ascii="宋体" w:hAnsi="宋体"/>
                <w:szCs w:val="21"/>
                <w:lang w:val="en-US" w:eastAsia="zh-CN"/>
              </w:rPr>
            </w:pPr>
            <w:r>
              <w:t>日常运维费</w:t>
            </w:r>
          </w:p>
        </w:tc>
        <w:tc>
          <w:tcPr>
            <w:tcW w:w="1842" w:type="dxa"/>
            <w:noWrap w:val="0"/>
            <w:vAlign w:val="top"/>
          </w:tcPr>
          <w:p w14:paraId="0DF3CEC5">
            <w:pPr>
              <w:pStyle w:val="9"/>
            </w:pPr>
            <w:r>
              <w:t>本项费用涵盖污水站全流程设备维保、水质检测、污泥处置、耗材及辅助运维成本，保障设备正常运行、运维流程规范。</w:t>
            </w:r>
          </w:p>
          <w:p w14:paraId="375979E2">
            <w:pPr>
              <w:spacing w:line="360" w:lineRule="auto"/>
              <w:jc w:val="center"/>
              <w:rPr>
                <w:rFonts w:hint="default" w:ascii="宋体" w:hAnsi="宋体" w:eastAsia="宋体" w:cs="宋体"/>
                <w:smallCaps/>
                <w:szCs w:val="21"/>
                <w:lang w:val="en-US" w:eastAsia="zh-CN"/>
              </w:rPr>
            </w:pPr>
          </w:p>
        </w:tc>
        <w:tc>
          <w:tcPr>
            <w:tcW w:w="709" w:type="dxa"/>
            <w:noWrap w:val="0"/>
            <w:vAlign w:val="center"/>
          </w:tcPr>
          <w:p w14:paraId="5D992914">
            <w:pPr>
              <w:spacing w:line="360" w:lineRule="auto"/>
              <w:jc w:val="center"/>
              <w:rPr>
                <w:rFonts w:hint="eastAsia" w:ascii="Calibri" w:hAnsi="Calibri"/>
                <w:color w:val="000000"/>
                <w:kern w:val="2"/>
                <w:sz w:val="20"/>
                <w:szCs w:val="20"/>
                <w:lang w:val="en-US" w:eastAsia="zh-CN" w:bidi="ar-SA"/>
              </w:rPr>
            </w:pPr>
            <w:r>
              <w:rPr>
                <w:rFonts w:hint="eastAsia"/>
                <w:color w:val="000000"/>
                <w:sz w:val="20"/>
                <w:szCs w:val="20"/>
              </w:rPr>
              <w:t>套</w:t>
            </w:r>
          </w:p>
        </w:tc>
        <w:tc>
          <w:tcPr>
            <w:tcW w:w="709" w:type="dxa"/>
            <w:noWrap w:val="0"/>
            <w:vAlign w:val="center"/>
          </w:tcPr>
          <w:p w14:paraId="0EAC447C">
            <w:pPr>
              <w:spacing w:line="360" w:lineRule="auto"/>
              <w:jc w:val="center"/>
              <w:rPr>
                <w:rFonts w:hint="eastAsia" w:ascii="宋体" w:hAnsi="宋体"/>
                <w:kern w:val="2"/>
                <w:sz w:val="21"/>
                <w:szCs w:val="21"/>
                <w:lang w:val="en-US" w:eastAsia="zh-CN" w:bidi="ar-SA"/>
              </w:rPr>
            </w:pPr>
            <w:r>
              <w:rPr>
                <w:rFonts w:hint="eastAsia" w:ascii="宋体" w:hAnsi="宋体"/>
                <w:szCs w:val="21"/>
              </w:rPr>
              <w:t>1</w:t>
            </w:r>
          </w:p>
        </w:tc>
        <w:tc>
          <w:tcPr>
            <w:tcW w:w="1417" w:type="dxa"/>
            <w:noWrap w:val="0"/>
            <w:vAlign w:val="center"/>
          </w:tcPr>
          <w:p w14:paraId="025B5F7E">
            <w:pPr>
              <w:spacing w:line="360" w:lineRule="auto"/>
              <w:jc w:val="center"/>
              <w:rPr>
                <w:rFonts w:hint="default" w:ascii="宋体" w:hAnsi="宋体" w:eastAsia="宋体"/>
                <w:szCs w:val="21"/>
                <w:lang w:val="en-US" w:eastAsia="zh-CN"/>
              </w:rPr>
            </w:pPr>
          </w:p>
        </w:tc>
        <w:tc>
          <w:tcPr>
            <w:tcW w:w="1418" w:type="dxa"/>
            <w:noWrap w:val="0"/>
            <w:vAlign w:val="center"/>
          </w:tcPr>
          <w:p w14:paraId="28C2C183">
            <w:pPr>
              <w:spacing w:line="360" w:lineRule="auto"/>
              <w:jc w:val="center"/>
              <w:rPr>
                <w:rFonts w:hint="default" w:ascii="宋体" w:hAnsi="宋体" w:eastAsia="宋体"/>
                <w:szCs w:val="21"/>
                <w:lang w:val="en-US" w:eastAsia="zh-CN"/>
              </w:rPr>
            </w:pPr>
          </w:p>
        </w:tc>
        <w:tc>
          <w:tcPr>
            <w:tcW w:w="1134" w:type="dxa"/>
            <w:noWrap w:val="0"/>
            <w:vAlign w:val="center"/>
          </w:tcPr>
          <w:p w14:paraId="1FF40E17">
            <w:pPr>
              <w:spacing w:line="360" w:lineRule="auto"/>
              <w:rPr>
                <w:rFonts w:hint="eastAsia" w:ascii="宋体" w:hAnsi="宋体"/>
                <w:szCs w:val="21"/>
              </w:rPr>
            </w:pPr>
          </w:p>
        </w:tc>
      </w:tr>
      <w:tr w14:paraId="091B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 w:type="dxa"/>
            <w:noWrap w:val="0"/>
            <w:vAlign w:val="center"/>
          </w:tcPr>
          <w:p w14:paraId="487812CC">
            <w:pPr>
              <w:spacing w:line="360" w:lineRule="auto"/>
              <w:jc w:val="center"/>
              <w:rPr>
                <w:rFonts w:hint="default" w:ascii="宋体" w:hAnsi="宋体"/>
                <w:szCs w:val="21"/>
                <w:lang w:val="en-US" w:eastAsia="zh-CN"/>
              </w:rPr>
            </w:pPr>
            <w:r>
              <w:rPr>
                <w:rFonts w:hint="eastAsia" w:ascii="宋体" w:hAnsi="宋体"/>
                <w:szCs w:val="21"/>
                <w:lang w:val="en-US" w:eastAsia="zh-CN"/>
              </w:rPr>
              <w:t>3</w:t>
            </w:r>
          </w:p>
        </w:tc>
        <w:tc>
          <w:tcPr>
            <w:tcW w:w="1701" w:type="dxa"/>
            <w:noWrap w:val="0"/>
            <w:vAlign w:val="center"/>
          </w:tcPr>
          <w:p w14:paraId="688FF19D">
            <w:pPr>
              <w:spacing w:line="360" w:lineRule="auto"/>
              <w:jc w:val="center"/>
            </w:pPr>
            <w:r>
              <w:t>药剂费用明细</w:t>
            </w:r>
          </w:p>
        </w:tc>
        <w:tc>
          <w:tcPr>
            <w:tcW w:w="1842" w:type="dxa"/>
            <w:noWrap w:val="0"/>
            <w:vAlign w:val="top"/>
          </w:tcPr>
          <w:p w14:paraId="467D7FB2">
            <w:pPr>
              <w:pStyle w:val="9"/>
            </w:pPr>
            <w:r>
              <w:t>本项费用按医院老区污水站日均污水处理量测算，包含污水处理所需各类药剂采购、运输、添加成本，药剂均符合环保及医用污水处置标准。</w:t>
            </w:r>
          </w:p>
          <w:p w14:paraId="0A680984">
            <w:pPr>
              <w:spacing w:line="360" w:lineRule="auto"/>
              <w:jc w:val="center"/>
              <w:rPr>
                <w:rFonts w:hint="default" w:ascii="宋体" w:hAnsi="宋体" w:eastAsia="宋体" w:cs="宋体"/>
                <w:smallCaps/>
                <w:szCs w:val="21"/>
                <w:lang w:val="en-US" w:eastAsia="zh-CN"/>
              </w:rPr>
            </w:pPr>
          </w:p>
        </w:tc>
        <w:tc>
          <w:tcPr>
            <w:tcW w:w="709" w:type="dxa"/>
            <w:shd w:val="clear"/>
            <w:noWrap w:val="0"/>
            <w:vAlign w:val="center"/>
          </w:tcPr>
          <w:p w14:paraId="088E24CC">
            <w:pPr>
              <w:spacing w:line="360" w:lineRule="auto"/>
              <w:jc w:val="center"/>
              <w:rPr>
                <w:rFonts w:hint="eastAsia" w:ascii="Calibri" w:hAnsi="Calibri" w:eastAsiaTheme="minorEastAsia" w:cstheme="minorBidi"/>
                <w:color w:val="000000"/>
                <w:kern w:val="2"/>
                <w:sz w:val="20"/>
                <w:szCs w:val="20"/>
                <w:lang w:val="en-US" w:eastAsia="zh-CN" w:bidi="ar-SA"/>
              </w:rPr>
            </w:pPr>
            <w:r>
              <w:rPr>
                <w:rFonts w:hint="eastAsia"/>
                <w:color w:val="000000"/>
                <w:sz w:val="20"/>
                <w:szCs w:val="20"/>
              </w:rPr>
              <w:t>套</w:t>
            </w:r>
          </w:p>
        </w:tc>
        <w:tc>
          <w:tcPr>
            <w:tcW w:w="709" w:type="dxa"/>
            <w:shd w:val="clear"/>
            <w:noWrap w:val="0"/>
            <w:vAlign w:val="center"/>
          </w:tcPr>
          <w:p w14:paraId="602D455D">
            <w:pPr>
              <w:spacing w:line="360" w:lineRule="auto"/>
              <w:jc w:val="center"/>
              <w:rPr>
                <w:rFonts w:hint="eastAsia" w:ascii="宋体" w:hAnsi="宋体" w:eastAsiaTheme="minorEastAsia" w:cstheme="minorBidi"/>
                <w:kern w:val="2"/>
                <w:sz w:val="21"/>
                <w:szCs w:val="21"/>
                <w:lang w:val="en-US" w:eastAsia="zh-CN" w:bidi="ar-SA"/>
              </w:rPr>
            </w:pPr>
            <w:r>
              <w:rPr>
                <w:rFonts w:hint="eastAsia" w:ascii="宋体" w:hAnsi="宋体"/>
                <w:szCs w:val="21"/>
              </w:rPr>
              <w:t>1</w:t>
            </w:r>
          </w:p>
        </w:tc>
        <w:tc>
          <w:tcPr>
            <w:tcW w:w="1417" w:type="dxa"/>
            <w:noWrap w:val="0"/>
            <w:vAlign w:val="center"/>
          </w:tcPr>
          <w:p w14:paraId="2B60468B">
            <w:pPr>
              <w:spacing w:line="360" w:lineRule="auto"/>
              <w:jc w:val="center"/>
              <w:rPr>
                <w:rFonts w:hint="default" w:ascii="宋体" w:hAnsi="宋体" w:eastAsia="宋体"/>
                <w:szCs w:val="21"/>
                <w:lang w:val="en-US" w:eastAsia="zh-CN"/>
              </w:rPr>
            </w:pPr>
          </w:p>
        </w:tc>
        <w:tc>
          <w:tcPr>
            <w:tcW w:w="1418" w:type="dxa"/>
            <w:noWrap w:val="0"/>
            <w:vAlign w:val="center"/>
          </w:tcPr>
          <w:p w14:paraId="0026B4C7">
            <w:pPr>
              <w:spacing w:line="360" w:lineRule="auto"/>
              <w:jc w:val="center"/>
              <w:rPr>
                <w:rFonts w:hint="default" w:ascii="宋体" w:hAnsi="宋体" w:eastAsia="宋体"/>
                <w:szCs w:val="21"/>
                <w:lang w:val="en-US" w:eastAsia="zh-CN"/>
              </w:rPr>
            </w:pPr>
          </w:p>
        </w:tc>
        <w:tc>
          <w:tcPr>
            <w:tcW w:w="1134" w:type="dxa"/>
            <w:noWrap w:val="0"/>
            <w:vAlign w:val="center"/>
          </w:tcPr>
          <w:p w14:paraId="674C833F">
            <w:pPr>
              <w:spacing w:line="360" w:lineRule="auto"/>
              <w:rPr>
                <w:rFonts w:hint="eastAsia" w:ascii="宋体" w:hAnsi="宋体"/>
                <w:szCs w:val="21"/>
              </w:rPr>
            </w:pPr>
          </w:p>
        </w:tc>
      </w:tr>
      <w:tr w14:paraId="00BB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2" w:type="dxa"/>
            <w:noWrap w:val="0"/>
            <w:vAlign w:val="center"/>
          </w:tcPr>
          <w:p w14:paraId="2BBBE4D9">
            <w:pPr>
              <w:spacing w:line="360" w:lineRule="auto"/>
              <w:jc w:val="center"/>
              <w:rPr>
                <w:rFonts w:hint="default" w:ascii="宋体" w:hAnsi="宋体"/>
                <w:szCs w:val="21"/>
                <w:lang w:val="en-US" w:eastAsia="zh-CN"/>
              </w:rPr>
            </w:pPr>
            <w:r>
              <w:rPr>
                <w:rFonts w:hint="eastAsia" w:ascii="宋体" w:hAnsi="宋体"/>
                <w:szCs w:val="21"/>
                <w:lang w:val="en-US" w:eastAsia="zh-CN"/>
              </w:rPr>
              <w:t>4</w:t>
            </w:r>
          </w:p>
        </w:tc>
        <w:tc>
          <w:tcPr>
            <w:tcW w:w="1701" w:type="dxa"/>
            <w:noWrap w:val="0"/>
            <w:vAlign w:val="center"/>
          </w:tcPr>
          <w:p w14:paraId="3898B007">
            <w:pPr>
              <w:spacing w:line="360" w:lineRule="auto"/>
              <w:jc w:val="center"/>
            </w:pPr>
            <w:r>
              <w:t>第三方在线监测费用明细</w:t>
            </w:r>
          </w:p>
        </w:tc>
        <w:tc>
          <w:tcPr>
            <w:tcW w:w="1842" w:type="dxa"/>
            <w:noWrap w:val="0"/>
            <w:vAlign w:val="top"/>
          </w:tcPr>
          <w:p w14:paraId="3FDB4F63">
            <w:pPr>
              <w:pStyle w:val="9"/>
            </w:pPr>
            <w:r>
              <w:t>本项费用为第三方专业机构提供的在线监测设备托管运维、数据联网、环保平台对接、年度比对监测、废液合规处置等专项服务费用。</w:t>
            </w:r>
          </w:p>
          <w:p w14:paraId="5C351F7E">
            <w:pPr>
              <w:spacing w:line="360" w:lineRule="auto"/>
              <w:jc w:val="center"/>
              <w:rPr>
                <w:rFonts w:hint="default" w:ascii="宋体" w:hAnsi="宋体" w:eastAsia="宋体" w:cs="宋体"/>
                <w:smallCaps/>
                <w:szCs w:val="21"/>
                <w:lang w:val="en-US" w:eastAsia="zh-CN"/>
              </w:rPr>
            </w:pPr>
          </w:p>
        </w:tc>
        <w:tc>
          <w:tcPr>
            <w:tcW w:w="709" w:type="dxa"/>
            <w:shd w:val="clear" w:color="auto" w:fill="auto"/>
            <w:noWrap w:val="0"/>
            <w:vAlign w:val="center"/>
          </w:tcPr>
          <w:p w14:paraId="53A74CD0">
            <w:pPr>
              <w:spacing w:line="360" w:lineRule="auto"/>
              <w:jc w:val="center"/>
              <w:rPr>
                <w:rFonts w:hint="eastAsia" w:ascii="Calibri" w:hAnsi="Calibri" w:eastAsiaTheme="minorEastAsia" w:cstheme="minorBidi"/>
                <w:color w:val="000000"/>
                <w:kern w:val="2"/>
                <w:sz w:val="20"/>
                <w:szCs w:val="20"/>
                <w:lang w:val="en-US" w:eastAsia="zh-CN" w:bidi="ar-SA"/>
              </w:rPr>
            </w:pPr>
            <w:r>
              <w:rPr>
                <w:rFonts w:hint="eastAsia"/>
                <w:color w:val="000000"/>
                <w:sz w:val="20"/>
                <w:szCs w:val="20"/>
              </w:rPr>
              <w:t>套</w:t>
            </w:r>
          </w:p>
        </w:tc>
        <w:tc>
          <w:tcPr>
            <w:tcW w:w="709" w:type="dxa"/>
            <w:shd w:val="clear" w:color="auto" w:fill="auto"/>
            <w:noWrap w:val="0"/>
            <w:vAlign w:val="center"/>
          </w:tcPr>
          <w:p w14:paraId="642DC6BC">
            <w:pPr>
              <w:spacing w:line="360" w:lineRule="auto"/>
              <w:jc w:val="center"/>
              <w:rPr>
                <w:rFonts w:hint="eastAsia" w:ascii="宋体" w:hAnsi="宋体" w:eastAsiaTheme="minorEastAsia" w:cstheme="minorBidi"/>
                <w:kern w:val="2"/>
                <w:sz w:val="21"/>
                <w:szCs w:val="21"/>
                <w:lang w:val="en-US" w:eastAsia="zh-CN" w:bidi="ar-SA"/>
              </w:rPr>
            </w:pPr>
            <w:r>
              <w:rPr>
                <w:rFonts w:hint="eastAsia" w:ascii="宋体" w:hAnsi="宋体"/>
                <w:szCs w:val="21"/>
              </w:rPr>
              <w:t>1</w:t>
            </w:r>
          </w:p>
        </w:tc>
        <w:tc>
          <w:tcPr>
            <w:tcW w:w="1417" w:type="dxa"/>
            <w:noWrap w:val="0"/>
            <w:vAlign w:val="center"/>
          </w:tcPr>
          <w:p w14:paraId="24CF3438">
            <w:pPr>
              <w:spacing w:line="360" w:lineRule="auto"/>
              <w:jc w:val="center"/>
              <w:rPr>
                <w:rFonts w:hint="default" w:ascii="宋体" w:hAnsi="宋体" w:eastAsia="宋体"/>
                <w:szCs w:val="21"/>
                <w:lang w:val="en-US" w:eastAsia="zh-CN"/>
              </w:rPr>
            </w:pPr>
          </w:p>
        </w:tc>
        <w:tc>
          <w:tcPr>
            <w:tcW w:w="1418" w:type="dxa"/>
            <w:noWrap w:val="0"/>
            <w:vAlign w:val="center"/>
          </w:tcPr>
          <w:p w14:paraId="6B5A10C0">
            <w:pPr>
              <w:spacing w:line="360" w:lineRule="auto"/>
              <w:jc w:val="center"/>
              <w:rPr>
                <w:rFonts w:hint="default" w:ascii="宋体" w:hAnsi="宋体" w:eastAsia="宋体"/>
                <w:szCs w:val="21"/>
                <w:lang w:val="en-US" w:eastAsia="zh-CN"/>
              </w:rPr>
            </w:pPr>
          </w:p>
        </w:tc>
        <w:tc>
          <w:tcPr>
            <w:tcW w:w="1134" w:type="dxa"/>
            <w:noWrap w:val="0"/>
            <w:vAlign w:val="center"/>
          </w:tcPr>
          <w:p w14:paraId="6779AE3F">
            <w:pPr>
              <w:spacing w:line="360" w:lineRule="auto"/>
              <w:rPr>
                <w:rFonts w:hint="eastAsia" w:ascii="宋体" w:hAnsi="宋体"/>
                <w:szCs w:val="21"/>
              </w:rPr>
            </w:pPr>
          </w:p>
        </w:tc>
      </w:tr>
      <w:tr w14:paraId="2C04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2" w:type="dxa"/>
            <w:noWrap w:val="0"/>
            <w:vAlign w:val="center"/>
          </w:tcPr>
          <w:p w14:paraId="6D2F1474">
            <w:pPr>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1701" w:type="dxa"/>
            <w:noWrap w:val="0"/>
            <w:vAlign w:val="center"/>
          </w:tcPr>
          <w:p w14:paraId="757A5E2F">
            <w:pPr>
              <w:spacing w:line="360" w:lineRule="auto"/>
              <w:jc w:val="center"/>
              <w:rPr>
                <w:rFonts w:hint="eastAsia" w:ascii="宋体" w:hAnsi="宋体"/>
                <w:szCs w:val="21"/>
              </w:rPr>
            </w:pPr>
            <w:r>
              <w:rPr>
                <w:rFonts w:hint="eastAsia" w:ascii="宋体" w:hAnsi="宋体"/>
                <w:szCs w:val="21"/>
              </w:rPr>
              <w:t>总价</w:t>
            </w:r>
          </w:p>
        </w:tc>
        <w:tc>
          <w:tcPr>
            <w:tcW w:w="7229" w:type="dxa"/>
            <w:gridSpan w:val="6"/>
            <w:noWrap w:val="0"/>
            <w:vAlign w:val="top"/>
          </w:tcPr>
          <w:p w14:paraId="0A6CBF98">
            <w:pPr>
              <w:spacing w:line="360" w:lineRule="auto"/>
              <w:rPr>
                <w:rFonts w:hint="eastAsia" w:ascii="宋体" w:hAnsi="宋体" w:eastAsia="宋体"/>
                <w:szCs w:val="21"/>
                <w:lang w:val="en-US" w:eastAsia="zh-CN"/>
              </w:rPr>
            </w:pPr>
          </w:p>
        </w:tc>
      </w:tr>
      <w:tr w14:paraId="7F76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2" w:type="dxa"/>
            <w:vMerge w:val="restart"/>
            <w:noWrap w:val="0"/>
            <w:vAlign w:val="top"/>
          </w:tcPr>
          <w:p w14:paraId="1611CDA0">
            <w:pPr>
              <w:ind w:firstLine="413" w:firstLineChars="196"/>
              <w:rPr>
                <w:rFonts w:hint="eastAsia" w:ascii="新宋体" w:hAnsi="新宋体" w:eastAsia="新宋体"/>
                <w:b/>
                <w:szCs w:val="21"/>
              </w:rPr>
            </w:pPr>
          </w:p>
          <w:p w14:paraId="5CD4F599">
            <w:pPr>
              <w:jc w:val="center"/>
              <w:rPr>
                <w:rFonts w:ascii="新宋体" w:hAnsi="新宋体" w:eastAsia="新宋体"/>
                <w:b/>
                <w:szCs w:val="21"/>
              </w:rPr>
            </w:pPr>
            <w:r>
              <w:rPr>
                <w:rFonts w:hint="eastAsia" w:ascii="新宋体" w:hAnsi="新宋体" w:eastAsia="新宋体"/>
                <w:b/>
                <w:szCs w:val="21"/>
              </w:rPr>
              <w:t>备</w:t>
            </w:r>
          </w:p>
          <w:p w14:paraId="394E9C36">
            <w:pPr>
              <w:ind w:firstLine="103" w:firstLineChars="49"/>
              <w:jc w:val="center"/>
              <w:rPr>
                <w:rFonts w:ascii="新宋体" w:hAnsi="新宋体" w:eastAsia="新宋体"/>
                <w:b/>
                <w:szCs w:val="21"/>
              </w:rPr>
            </w:pPr>
          </w:p>
          <w:p w14:paraId="475CEEBF">
            <w:pPr>
              <w:ind w:firstLine="103" w:firstLineChars="49"/>
              <w:jc w:val="center"/>
              <w:rPr>
                <w:rFonts w:ascii="新宋体" w:hAnsi="新宋体" w:eastAsia="新宋体"/>
                <w:b/>
                <w:szCs w:val="21"/>
              </w:rPr>
            </w:pPr>
          </w:p>
          <w:p w14:paraId="6283FF4C">
            <w:pPr>
              <w:jc w:val="center"/>
              <w:rPr>
                <w:rFonts w:hint="eastAsia" w:ascii="新宋体" w:hAnsi="新宋体" w:eastAsia="新宋体"/>
                <w:b/>
                <w:szCs w:val="21"/>
              </w:rPr>
            </w:pPr>
            <w:r>
              <w:rPr>
                <w:rFonts w:hint="eastAsia" w:ascii="新宋体" w:hAnsi="新宋体" w:eastAsia="新宋体"/>
                <w:b/>
                <w:szCs w:val="21"/>
              </w:rPr>
              <w:t>注</w:t>
            </w:r>
          </w:p>
        </w:tc>
        <w:tc>
          <w:tcPr>
            <w:tcW w:w="8930" w:type="dxa"/>
            <w:gridSpan w:val="7"/>
            <w:noWrap w:val="0"/>
            <w:vAlign w:val="top"/>
          </w:tcPr>
          <w:p w14:paraId="4C60A8F8">
            <w:pPr>
              <w:rPr>
                <w:rFonts w:hint="default" w:ascii="新宋体" w:hAnsi="新宋体" w:eastAsia="新宋体"/>
                <w:szCs w:val="21"/>
                <w:lang w:val="en-US" w:eastAsia="zh-CN"/>
              </w:rPr>
            </w:pPr>
            <w:r>
              <w:rPr>
                <w:rFonts w:hint="eastAsia" w:ascii="新宋体" w:hAnsi="新宋体" w:eastAsia="新宋体"/>
                <w:szCs w:val="21"/>
              </w:rPr>
              <w:t>1、付款方式：</w:t>
            </w:r>
            <w:r>
              <w:rPr>
                <w:rFonts w:hint="eastAsia" w:ascii="新宋体" w:hAnsi="新宋体" w:eastAsia="新宋体"/>
                <w:szCs w:val="21"/>
                <w:lang w:val="en-US" w:eastAsia="zh-CN"/>
              </w:rPr>
              <w:t>每季度考核合格后支付</w:t>
            </w:r>
          </w:p>
        </w:tc>
      </w:tr>
      <w:tr w14:paraId="1EB3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2" w:type="dxa"/>
            <w:vMerge w:val="continue"/>
            <w:noWrap w:val="0"/>
            <w:vAlign w:val="top"/>
          </w:tcPr>
          <w:p w14:paraId="3BA54054">
            <w:pPr>
              <w:rPr>
                <w:rFonts w:ascii="新宋体" w:hAnsi="新宋体" w:eastAsia="新宋体"/>
                <w:b/>
                <w:szCs w:val="21"/>
              </w:rPr>
            </w:pPr>
          </w:p>
        </w:tc>
        <w:tc>
          <w:tcPr>
            <w:tcW w:w="8930" w:type="dxa"/>
            <w:gridSpan w:val="7"/>
            <w:noWrap w:val="0"/>
            <w:vAlign w:val="top"/>
          </w:tcPr>
          <w:p w14:paraId="77936777">
            <w:pPr>
              <w:rPr>
                <w:rFonts w:hint="default" w:ascii="新宋体" w:hAnsi="新宋体" w:eastAsia="新宋体"/>
                <w:szCs w:val="21"/>
                <w:lang w:val="en-US" w:eastAsia="zh-CN"/>
              </w:rPr>
            </w:pPr>
            <w:r>
              <w:rPr>
                <w:rFonts w:hint="eastAsia" w:ascii="新宋体" w:hAnsi="新宋体" w:eastAsia="新宋体"/>
                <w:szCs w:val="21"/>
              </w:rPr>
              <w:t>2、交货时间：</w:t>
            </w:r>
            <w:r>
              <w:rPr>
                <w:rFonts w:hint="eastAsia" w:ascii="新宋体" w:hAnsi="新宋体" w:eastAsia="新宋体"/>
                <w:szCs w:val="21"/>
                <w:lang w:val="en-US" w:eastAsia="zh-CN"/>
              </w:rPr>
              <w:t>阜阳市颍州区河滨东路146号</w:t>
            </w:r>
          </w:p>
        </w:tc>
      </w:tr>
      <w:tr w14:paraId="00DF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52" w:type="dxa"/>
            <w:vMerge w:val="continue"/>
            <w:noWrap w:val="0"/>
            <w:vAlign w:val="top"/>
          </w:tcPr>
          <w:p w14:paraId="562CBDFB">
            <w:pPr>
              <w:rPr>
                <w:rFonts w:ascii="新宋体" w:hAnsi="新宋体" w:eastAsia="新宋体"/>
                <w:b/>
                <w:szCs w:val="21"/>
              </w:rPr>
            </w:pPr>
          </w:p>
        </w:tc>
        <w:tc>
          <w:tcPr>
            <w:tcW w:w="8930" w:type="dxa"/>
            <w:gridSpan w:val="7"/>
            <w:noWrap w:val="0"/>
            <w:vAlign w:val="top"/>
          </w:tcPr>
          <w:p w14:paraId="721F22A5">
            <w:pPr>
              <w:rPr>
                <w:rFonts w:hint="default" w:ascii="新宋体" w:hAnsi="新宋体" w:eastAsia="新宋体"/>
                <w:szCs w:val="21"/>
                <w:lang w:val="en-US"/>
              </w:rPr>
            </w:pPr>
            <w:r>
              <w:rPr>
                <w:rFonts w:hint="eastAsia" w:ascii="新宋体" w:hAnsi="新宋体" w:eastAsia="新宋体"/>
                <w:szCs w:val="21"/>
              </w:rPr>
              <w:t>3、交货地点：</w:t>
            </w:r>
            <w:r>
              <w:rPr>
                <w:rFonts w:hint="eastAsia" w:ascii="新宋体" w:hAnsi="新宋体" w:eastAsia="新宋体"/>
                <w:szCs w:val="21"/>
                <w:lang w:val="en-US" w:eastAsia="zh-CN"/>
              </w:rPr>
              <w:t>阜阳市肿瘤医院（阜阳市颍东区人民医院）河滨路院区</w:t>
            </w:r>
          </w:p>
        </w:tc>
      </w:tr>
      <w:tr w14:paraId="002E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2" w:type="dxa"/>
            <w:vMerge w:val="continue"/>
            <w:noWrap w:val="0"/>
            <w:vAlign w:val="top"/>
          </w:tcPr>
          <w:p w14:paraId="1CAA330D">
            <w:pPr>
              <w:rPr>
                <w:rFonts w:ascii="新宋体" w:hAnsi="新宋体" w:eastAsia="新宋体"/>
                <w:b/>
                <w:szCs w:val="21"/>
              </w:rPr>
            </w:pPr>
          </w:p>
        </w:tc>
        <w:tc>
          <w:tcPr>
            <w:tcW w:w="8930" w:type="dxa"/>
            <w:gridSpan w:val="7"/>
            <w:noWrap w:val="0"/>
            <w:vAlign w:val="top"/>
          </w:tcPr>
          <w:p w14:paraId="2C508B20">
            <w:pPr>
              <w:rPr>
                <w:rFonts w:hint="eastAsia" w:ascii="新宋体" w:hAnsi="新宋体" w:eastAsia="新宋体"/>
                <w:szCs w:val="21"/>
              </w:rPr>
            </w:pPr>
            <w:r>
              <w:rPr>
                <w:rFonts w:hint="eastAsia" w:ascii="新宋体" w:hAnsi="新宋体" w:eastAsia="新宋体"/>
                <w:szCs w:val="21"/>
              </w:rPr>
              <w:t>4、运输费用：供方承担</w:t>
            </w:r>
          </w:p>
        </w:tc>
      </w:tr>
      <w:tr w14:paraId="4EC6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2" w:type="dxa"/>
            <w:vMerge w:val="continue"/>
            <w:noWrap w:val="0"/>
            <w:vAlign w:val="top"/>
          </w:tcPr>
          <w:p w14:paraId="2B8CC5B4">
            <w:pPr>
              <w:rPr>
                <w:rFonts w:ascii="新宋体" w:hAnsi="新宋体" w:eastAsia="新宋体"/>
                <w:b/>
                <w:szCs w:val="21"/>
              </w:rPr>
            </w:pPr>
          </w:p>
        </w:tc>
        <w:tc>
          <w:tcPr>
            <w:tcW w:w="8930" w:type="dxa"/>
            <w:gridSpan w:val="7"/>
            <w:tcBorders/>
            <w:noWrap w:val="0"/>
            <w:vAlign w:val="top"/>
          </w:tcPr>
          <w:p w14:paraId="7B47DAED">
            <w:pPr>
              <w:rPr>
                <w:rFonts w:hint="eastAsia" w:ascii="新宋体" w:hAnsi="新宋体" w:eastAsia="新宋体"/>
                <w:szCs w:val="21"/>
              </w:rPr>
            </w:pPr>
            <w:r>
              <w:rPr>
                <w:rFonts w:hint="eastAsia" w:ascii="新宋体" w:hAnsi="新宋体" w:eastAsia="新宋体"/>
                <w:szCs w:val="21"/>
                <w:lang w:val="en-US" w:eastAsia="zh-CN"/>
              </w:rPr>
              <w:t>5</w:t>
            </w:r>
            <w:r>
              <w:rPr>
                <w:rFonts w:hint="eastAsia" w:ascii="新宋体" w:hAnsi="新宋体" w:eastAsia="新宋体"/>
                <w:szCs w:val="21"/>
              </w:rPr>
              <w:t>、其它事项双方协商解决。</w:t>
            </w:r>
          </w:p>
        </w:tc>
      </w:tr>
    </w:tbl>
    <w:p w14:paraId="3D566A36"/>
    <w:p w14:paraId="6C61E04F"/>
    <w:p w14:paraId="7C9E533E">
      <w:pPr>
        <w:tabs>
          <w:tab w:val="left" w:pos="3157"/>
        </w:tabs>
        <w:jc w:val="left"/>
        <w:rPr>
          <w:rFonts w:hint="eastAsia"/>
        </w:rPr>
      </w:pPr>
      <w:r>
        <mc:AlternateContent>
          <mc:Choice Requires="wps">
            <w:drawing>
              <wp:anchor distT="0" distB="0" distL="114300" distR="114300" simplePos="0" relativeHeight="251659264" behindDoc="1" locked="0" layoutInCell="1" allowOverlap="1">
                <wp:simplePos x="0" y="0"/>
                <wp:positionH relativeFrom="column">
                  <wp:posOffset>-87630</wp:posOffset>
                </wp:positionH>
                <wp:positionV relativeFrom="paragraph">
                  <wp:posOffset>845820</wp:posOffset>
                </wp:positionV>
                <wp:extent cx="6696710" cy="16548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696710" cy="1654810"/>
                        </a:xfrm>
                        <a:prstGeom prst="rect">
                          <a:avLst/>
                        </a:prstGeom>
                        <a:noFill/>
                        <a:ln>
                          <a:noFill/>
                        </a:ln>
                      </wps:spPr>
                      <wps:txbx>
                        <w:txbxContent>
                          <w:p w14:paraId="41046087">
                            <w:pPr>
                              <w:pStyle w:val="10"/>
                              <w:ind w:left="0" w:leftChars="0" w:firstLine="0" w:firstLineChars="0"/>
                              <w:jc w:val="left"/>
                              <w:rPr>
                                <w:rFonts w:hint="eastAsia" w:ascii="宋体" w:hAnsi="宋体" w:eastAsia="宋体"/>
                                <w:kern w:val="0"/>
                                <w:sz w:val="21"/>
                                <w:szCs w:val="21"/>
                              </w:rPr>
                            </w:pPr>
                          </w:p>
                        </w:txbxContent>
                      </wps:txbx>
                      <wps:bodyPr upright="1"/>
                    </wps:wsp>
                  </a:graphicData>
                </a:graphic>
              </wp:anchor>
            </w:drawing>
          </mc:Choice>
          <mc:Fallback>
            <w:pict>
              <v:shape id="_x0000_s1026" o:spid="_x0000_s1026" o:spt="202" type="#_x0000_t202" style="position:absolute;left:0pt;margin-left:-6.9pt;margin-top:66.6pt;height:130.3pt;width:527.3pt;z-index:-251657216;mso-width-relative:page;mso-height-relative:page;" filled="f" stroked="f" coordsize="21600,21600" o:gfxdata="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xPMk1wAA&#10;AAwBAAAPAAAAAAAAAAEAIAAAACIAAABkcnMvZG93bnJldi54bWxQSwECFAAUAAAACACHTuJAoa+w&#10;+60BAABPAwAADgAAAAAAAAABACAAAAAmAQAAZHJzL2Uyb0RvYy54bWxQSwUGAAAAAAYABgBZAQAA&#10;RQUAAAAA&#10;">
                <v:fill on="f" focussize="0,0"/>
                <v:stroke on="f"/>
                <v:imagedata o:title=""/>
                <o:lock v:ext="edit" aspectratio="f"/>
                <v:textbox>
                  <w:txbxContent>
                    <w:p w14:paraId="41046087">
                      <w:pPr>
                        <w:pStyle w:val="10"/>
                        <w:ind w:left="0" w:leftChars="0" w:firstLine="0" w:firstLineChars="0"/>
                        <w:jc w:val="left"/>
                        <w:rPr>
                          <w:rFonts w:hint="eastAsia" w:ascii="宋体" w:hAnsi="宋体" w:eastAsia="宋体"/>
                          <w:kern w:val="0"/>
                          <w:sz w:val="21"/>
                          <w:szCs w:val="21"/>
                        </w:rPr>
                      </w:pPr>
                    </w:p>
                  </w:txbxContent>
                </v:textbox>
              </v:shape>
            </w:pict>
          </mc:Fallback>
        </mc:AlternateContent>
      </w:r>
    </w:p>
    <w:p w14:paraId="56AD2EA4">
      <w:pPr>
        <w:widowControl w:val="0"/>
        <w:numPr>
          <w:numId w:val="0"/>
        </w:numPr>
        <w:ind w:leftChars="0"/>
        <w:jc w:val="both"/>
        <w:rPr>
          <w:rFonts w:hint="default" w:ascii="宋体" w:hAnsi="宋体" w:eastAsia="宋体" w:cs="宋体"/>
          <w:b w:val="0"/>
          <w:bCs w:val="0"/>
          <w:color w:val="00000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4E46D"/>
    <w:multiLevelType w:val="singleLevel"/>
    <w:tmpl w:val="9DA4E46D"/>
    <w:lvl w:ilvl="0" w:tentative="0">
      <w:start w:val="2"/>
      <w:numFmt w:val="decimal"/>
      <w:suff w:val="nothing"/>
      <w:lvlText w:val="%1、"/>
      <w:lvlJc w:val="left"/>
      <w:pPr>
        <w:ind w:left="140" w:leftChars="0" w:firstLine="0" w:firstLineChars="0"/>
      </w:pPr>
    </w:lvl>
  </w:abstractNum>
  <w:abstractNum w:abstractNumId="1">
    <w:nsid w:val="E2A4CCAD"/>
    <w:multiLevelType w:val="singleLevel"/>
    <w:tmpl w:val="E2A4CCAD"/>
    <w:lvl w:ilvl="0" w:tentative="0">
      <w:start w:val="2"/>
      <w:numFmt w:val="chineseCounting"/>
      <w:suff w:val="nothing"/>
      <w:lvlText w:val="%1、"/>
      <w:lvlJc w:val="left"/>
      <w:rPr>
        <w:rFonts w:hint="eastAsia"/>
      </w:rPr>
    </w:lvl>
  </w:abstractNum>
  <w:abstractNum w:abstractNumId="2">
    <w:nsid w:val="E3678FFB"/>
    <w:multiLevelType w:val="singleLevel"/>
    <w:tmpl w:val="E3678FFB"/>
    <w:lvl w:ilvl="0" w:tentative="0">
      <w:start w:val="2"/>
      <w:numFmt w:val="decimal"/>
      <w:suff w:val="nothing"/>
      <w:lvlText w:val="%1、"/>
      <w:lvlJc w:val="left"/>
      <w:pPr>
        <w:ind w:left="140" w:leftChars="0" w:firstLine="0" w:firstLineChars="0"/>
      </w:pPr>
    </w:lvl>
  </w:abstractNum>
  <w:abstractNum w:abstractNumId="3">
    <w:nsid w:val="10CB50CD"/>
    <w:multiLevelType w:val="singleLevel"/>
    <w:tmpl w:val="10CB50CD"/>
    <w:lvl w:ilvl="0" w:tentative="0">
      <w:start w:val="1"/>
      <w:numFmt w:val="decimal"/>
      <w:lvlText w:val="%1."/>
      <w:lvlJc w:val="left"/>
      <w:pPr>
        <w:tabs>
          <w:tab w:val="left" w:pos="312"/>
        </w:tabs>
      </w:pPr>
    </w:lvl>
  </w:abstractNum>
  <w:abstractNum w:abstractNumId="4">
    <w:nsid w:val="5A0B9CD1"/>
    <w:multiLevelType w:val="singleLevel"/>
    <w:tmpl w:val="5A0B9CD1"/>
    <w:lvl w:ilvl="0" w:tentative="0">
      <w:start w:val="4"/>
      <w:numFmt w:val="chineseCounting"/>
      <w:lvlText w:val="(%1)"/>
      <w:lvlJc w:val="left"/>
      <w:pPr>
        <w:tabs>
          <w:tab w:val="left" w:pos="312"/>
        </w:tabs>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26C7E"/>
    <w:rsid w:val="0A6F4C12"/>
    <w:rsid w:val="24362377"/>
    <w:rsid w:val="3A326C7E"/>
    <w:rsid w:val="52F4338C"/>
    <w:rsid w:val="7FD2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line="360" w:lineRule="auto"/>
      <w:ind w:left="420" w:leftChars="200" w:firstLine="420" w:firstLineChars="200"/>
    </w:pPr>
    <w:rPr>
      <w:rFonts w:ascii="Times New Roman" w:eastAsia="Times New Roman"/>
      <w:sz w:val="21"/>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13"/>
    <w:uiPriority w:val="0"/>
    <w:pPr>
      <w:spacing w:before="120" w:after="120" w:line="288" w:lineRule="auto"/>
      <w:ind w:left="0"/>
      <w:jc w:val="left"/>
    </w:pPr>
    <w:rPr>
      <w:rFonts w:ascii="Arial" w:hAnsi="Arial" w:eastAsia="等线" w:cs="Arial"/>
      <w:sz w:val="22"/>
      <w:szCs w:val="22"/>
    </w:rPr>
  </w:style>
  <w:style w:type="paragraph" w:customStyle="1" w:styleId="10">
    <w:name w:val="UP标题3"/>
    <w:basedOn w:val="1"/>
    <w:qFormat/>
    <w:uiPriority w:val="0"/>
    <w:pPr>
      <w:spacing w:line="360" w:lineRule="auto"/>
      <w:ind w:firstLine="149" w:firstLineChars="149"/>
    </w:pPr>
    <w:rPr>
      <w:rFonts w:ascii="黑体" w:hAnsi="Times New Roman" w:eastAsia="黑体"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4428</Words>
  <Characters>4690</Characters>
  <Lines>0</Lines>
  <Paragraphs>0</Paragraphs>
  <TotalTime>1</TotalTime>
  <ScaleCrop>false</ScaleCrop>
  <LinksUpToDate>false</LinksUpToDate>
  <CharactersWithSpaces>4809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2026-04-16T23:55:00Z</dcterms:created>
  <dc:creator>levis </dc:creator>
  <cp:lastModifiedBy>levis </cp:lastModifiedBy>
  <cp:lastPrinted>2026-04-17T01:11:00Z</cp:lastPrinted>
  <dcterms:modified xsi:type="dcterms:W3CDTF">2026-04-17T07:51:03Z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7608522358D040EC9CB330392447597E_13</vt:lpwstr>
  </property>
  <property fmtid="{D5CDD505-2E9C-101B-9397-08002B2CF9AE}" pid="4" name="KSOTemplateDocerSaveRecord">
    <vt:lpwstr>eyJoZGlkIjoiZDQ3MTg3MWNjYjU3YWY0YTJkMDNmMTg2OThiZDAyMjQiLCJ1c2VySWQiOiIzMzk0NjQzNzkifQ==</vt:lpwstr>
  </property>
</Properties>
</file>